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Look w:val="01E0" w:firstRow="1" w:lastRow="1" w:firstColumn="1" w:lastColumn="1" w:noHBand="0" w:noVBand="0"/>
      </w:tblPr>
      <w:tblGrid>
        <w:gridCol w:w="5148"/>
        <w:gridCol w:w="5580"/>
      </w:tblGrid>
      <w:tr w:rsidR="00496C4C" w:rsidRPr="00D93BA2">
        <w:tc>
          <w:tcPr>
            <w:tcW w:w="5148" w:type="dxa"/>
          </w:tcPr>
          <w:p w:rsidR="00496C4C" w:rsidRPr="00D93BA2" w:rsidRDefault="00496C4C" w:rsidP="00383D5F">
            <w:pPr>
              <w:jc w:val="center"/>
              <w:rPr>
                <w:b/>
              </w:rPr>
            </w:pPr>
            <w:r w:rsidRPr="00D93BA2">
              <w:rPr>
                <w:b/>
              </w:rPr>
              <w:t>CÔNG TY CP HỒNG HÀ VIỆT NAM</w:t>
            </w:r>
          </w:p>
          <w:p w:rsidR="00496C4C" w:rsidRPr="00D93BA2" w:rsidRDefault="00496C4C" w:rsidP="00383D5F">
            <w:pPr>
              <w:jc w:val="center"/>
              <w:rPr>
                <w:sz w:val="26"/>
                <w:szCs w:val="26"/>
              </w:rPr>
            </w:pPr>
            <w:r w:rsidRPr="00D93BA2">
              <w:rPr>
                <w:sz w:val="26"/>
                <w:szCs w:val="26"/>
              </w:rPr>
              <w:t>BAN KIỂM SOÁT</w:t>
            </w:r>
          </w:p>
          <w:p w:rsidR="00496C4C" w:rsidRPr="00D93BA2" w:rsidRDefault="00496C4C" w:rsidP="00383D5F">
            <w:pPr>
              <w:jc w:val="center"/>
              <w:rPr>
                <w:b/>
                <w:sz w:val="26"/>
                <w:szCs w:val="26"/>
              </w:rPr>
            </w:pPr>
            <w:r w:rsidRPr="00D93BA2">
              <w:rPr>
                <w:b/>
                <w:sz w:val="26"/>
                <w:szCs w:val="26"/>
              </w:rPr>
              <w:t>---------***----------</w:t>
            </w:r>
          </w:p>
          <w:p w:rsidR="00496C4C" w:rsidRPr="00D93BA2" w:rsidRDefault="00496C4C" w:rsidP="00E132F1">
            <w:pPr>
              <w:spacing w:before="120"/>
              <w:jc w:val="center"/>
              <w:rPr>
                <w:i/>
                <w:sz w:val="26"/>
                <w:szCs w:val="26"/>
              </w:rPr>
            </w:pPr>
            <w:r w:rsidRPr="00D93BA2">
              <w:rPr>
                <w:i/>
                <w:sz w:val="26"/>
                <w:szCs w:val="26"/>
              </w:rPr>
              <w:t>Số: 0</w:t>
            </w:r>
            <w:r w:rsidR="00D04D79" w:rsidRPr="00D93BA2">
              <w:rPr>
                <w:i/>
                <w:sz w:val="26"/>
                <w:szCs w:val="26"/>
              </w:rPr>
              <w:t>1</w:t>
            </w:r>
            <w:r w:rsidRPr="00D93BA2">
              <w:rPr>
                <w:i/>
                <w:sz w:val="26"/>
                <w:szCs w:val="26"/>
              </w:rPr>
              <w:t>/</w:t>
            </w:r>
            <w:r w:rsidR="006D1C5E" w:rsidRPr="00D93BA2">
              <w:rPr>
                <w:i/>
                <w:sz w:val="26"/>
                <w:szCs w:val="26"/>
              </w:rPr>
              <w:t>20</w:t>
            </w:r>
            <w:r w:rsidR="001953A2" w:rsidRPr="00D93BA2">
              <w:rPr>
                <w:i/>
                <w:sz w:val="26"/>
                <w:szCs w:val="26"/>
              </w:rPr>
              <w:t>20</w:t>
            </w:r>
            <w:r w:rsidRPr="00D93BA2">
              <w:rPr>
                <w:i/>
                <w:sz w:val="26"/>
                <w:szCs w:val="26"/>
              </w:rPr>
              <w:t xml:space="preserve"> /BC-BKS</w:t>
            </w:r>
            <w:r w:rsidR="00BD6D2B" w:rsidRPr="00D93BA2">
              <w:rPr>
                <w:i/>
                <w:sz w:val="26"/>
                <w:szCs w:val="26"/>
              </w:rPr>
              <w:t>-</w:t>
            </w:r>
            <w:r w:rsidRPr="00D93BA2">
              <w:rPr>
                <w:i/>
                <w:sz w:val="26"/>
                <w:szCs w:val="26"/>
              </w:rPr>
              <w:t>HHVN</w:t>
            </w:r>
          </w:p>
          <w:p w:rsidR="00496C4C" w:rsidRPr="00D93BA2" w:rsidRDefault="00496C4C" w:rsidP="00E132F1">
            <w:pPr>
              <w:spacing w:before="120"/>
              <w:jc w:val="center"/>
              <w:rPr>
                <w:sz w:val="12"/>
                <w:szCs w:val="26"/>
              </w:rPr>
            </w:pPr>
          </w:p>
        </w:tc>
        <w:tc>
          <w:tcPr>
            <w:tcW w:w="5580" w:type="dxa"/>
          </w:tcPr>
          <w:p w:rsidR="00496C4C" w:rsidRPr="00D93BA2" w:rsidRDefault="00496C4C" w:rsidP="00383D5F">
            <w:pPr>
              <w:rPr>
                <w:b/>
                <w:sz w:val="22"/>
              </w:rPr>
            </w:pPr>
            <w:r w:rsidRPr="00D93BA2">
              <w:rPr>
                <w:b/>
                <w:sz w:val="22"/>
              </w:rPr>
              <w:t>CỘNG HÒA XÃ HỘI CHỦ NGHĨA VIỆT NAM</w:t>
            </w:r>
          </w:p>
          <w:p w:rsidR="00496C4C" w:rsidRPr="00D93BA2" w:rsidRDefault="00496C4C" w:rsidP="00383D5F">
            <w:pPr>
              <w:jc w:val="center"/>
              <w:rPr>
                <w:b/>
                <w:sz w:val="26"/>
                <w:szCs w:val="26"/>
                <w:u w:val="single"/>
              </w:rPr>
            </w:pPr>
            <w:r w:rsidRPr="00D93BA2">
              <w:rPr>
                <w:b/>
                <w:sz w:val="26"/>
                <w:szCs w:val="26"/>
                <w:u w:val="single"/>
              </w:rPr>
              <w:t>Độc lập – Tự do – Hạnh phúc</w:t>
            </w:r>
          </w:p>
          <w:p w:rsidR="00496C4C" w:rsidRPr="00D93BA2" w:rsidRDefault="00496C4C" w:rsidP="00E132F1">
            <w:pPr>
              <w:spacing w:after="120"/>
              <w:jc w:val="center"/>
              <w:rPr>
                <w:sz w:val="26"/>
                <w:szCs w:val="26"/>
              </w:rPr>
            </w:pPr>
          </w:p>
          <w:p w:rsidR="00496C4C" w:rsidRPr="00D93BA2" w:rsidRDefault="00496C4C" w:rsidP="00E132F1">
            <w:pPr>
              <w:spacing w:after="120"/>
              <w:jc w:val="center"/>
              <w:rPr>
                <w:i/>
                <w:sz w:val="26"/>
                <w:szCs w:val="26"/>
              </w:rPr>
            </w:pPr>
            <w:r w:rsidRPr="00D93BA2">
              <w:rPr>
                <w:i/>
                <w:sz w:val="26"/>
                <w:szCs w:val="26"/>
              </w:rPr>
              <w:t xml:space="preserve">Hà Nội, ngày </w:t>
            </w:r>
            <w:r w:rsidR="005674C0">
              <w:rPr>
                <w:i/>
                <w:sz w:val="26"/>
                <w:szCs w:val="26"/>
              </w:rPr>
              <w:t>09</w:t>
            </w:r>
            <w:r w:rsidR="00D70DC3" w:rsidRPr="00D93BA2">
              <w:rPr>
                <w:i/>
                <w:sz w:val="26"/>
                <w:szCs w:val="26"/>
              </w:rPr>
              <w:t xml:space="preserve"> tháng </w:t>
            </w:r>
            <w:r w:rsidR="00961371">
              <w:rPr>
                <w:i/>
                <w:sz w:val="26"/>
                <w:szCs w:val="26"/>
              </w:rPr>
              <w:t>06</w:t>
            </w:r>
            <w:r w:rsidRPr="00D93BA2">
              <w:rPr>
                <w:i/>
                <w:sz w:val="26"/>
                <w:szCs w:val="26"/>
              </w:rPr>
              <w:t xml:space="preserve"> năm </w:t>
            </w:r>
            <w:r w:rsidR="006D1C5E" w:rsidRPr="00D93BA2">
              <w:rPr>
                <w:i/>
                <w:sz w:val="26"/>
                <w:szCs w:val="26"/>
              </w:rPr>
              <w:t>20</w:t>
            </w:r>
            <w:r w:rsidR="00951BB8" w:rsidRPr="00D93BA2">
              <w:rPr>
                <w:i/>
                <w:sz w:val="26"/>
                <w:szCs w:val="26"/>
              </w:rPr>
              <w:t>20</w:t>
            </w:r>
          </w:p>
          <w:p w:rsidR="00496C4C" w:rsidRPr="00D93BA2" w:rsidRDefault="00496C4C" w:rsidP="00E132F1">
            <w:pPr>
              <w:spacing w:before="120"/>
              <w:jc w:val="center"/>
              <w:rPr>
                <w:sz w:val="26"/>
                <w:szCs w:val="26"/>
              </w:rPr>
            </w:pPr>
          </w:p>
        </w:tc>
      </w:tr>
    </w:tbl>
    <w:p w:rsidR="00496C4C" w:rsidRPr="00D93BA2" w:rsidRDefault="00496C4C" w:rsidP="00DA16E7">
      <w:pPr>
        <w:spacing w:after="120"/>
        <w:jc w:val="center"/>
        <w:rPr>
          <w:b/>
          <w:sz w:val="32"/>
          <w:szCs w:val="32"/>
        </w:rPr>
      </w:pPr>
      <w:r w:rsidRPr="00D93BA2">
        <w:rPr>
          <w:b/>
          <w:sz w:val="36"/>
          <w:szCs w:val="36"/>
        </w:rPr>
        <w:t xml:space="preserve">BÁO CÁO BAN KIỂM SOÁT NĂM </w:t>
      </w:r>
      <w:r w:rsidR="006D1C5E" w:rsidRPr="00D93BA2">
        <w:rPr>
          <w:b/>
          <w:sz w:val="36"/>
          <w:szCs w:val="36"/>
        </w:rPr>
        <w:t>201</w:t>
      </w:r>
      <w:r w:rsidR="00951BB8" w:rsidRPr="00D93BA2">
        <w:rPr>
          <w:b/>
          <w:sz w:val="36"/>
          <w:szCs w:val="36"/>
        </w:rPr>
        <w:t>9</w:t>
      </w:r>
      <w:r w:rsidR="00DA16E7" w:rsidRPr="00D93BA2">
        <w:rPr>
          <w:b/>
          <w:sz w:val="32"/>
          <w:szCs w:val="32"/>
        </w:rPr>
        <w:t xml:space="preserve"> </w:t>
      </w:r>
    </w:p>
    <w:p w:rsidR="00DA16E7" w:rsidRPr="00D93BA2" w:rsidRDefault="00DA16E7" w:rsidP="00DA16E7">
      <w:pPr>
        <w:spacing w:after="120"/>
        <w:jc w:val="center"/>
        <w:rPr>
          <w:b/>
          <w:sz w:val="36"/>
          <w:szCs w:val="36"/>
        </w:rPr>
      </w:pPr>
      <w:r w:rsidRPr="00D93BA2">
        <w:rPr>
          <w:b/>
          <w:sz w:val="32"/>
          <w:szCs w:val="32"/>
        </w:rPr>
        <w:t>TẠI ĐẠI HỘI ĐỒNG CỔ ĐÔNG NĂM 20</w:t>
      </w:r>
      <w:r w:rsidR="00951BB8" w:rsidRPr="00D93BA2">
        <w:rPr>
          <w:b/>
          <w:sz w:val="32"/>
          <w:szCs w:val="32"/>
        </w:rPr>
        <w:t>20</w:t>
      </w:r>
    </w:p>
    <w:p w:rsidR="00496C4C" w:rsidRPr="00D93BA2" w:rsidRDefault="00496C4C" w:rsidP="00C724E0">
      <w:pPr>
        <w:spacing w:before="240" w:after="120"/>
        <w:jc w:val="center"/>
        <w:rPr>
          <w:b/>
          <w:sz w:val="28"/>
          <w:szCs w:val="28"/>
        </w:rPr>
      </w:pPr>
      <w:r w:rsidRPr="00D93BA2">
        <w:rPr>
          <w:b/>
          <w:i/>
          <w:sz w:val="28"/>
          <w:szCs w:val="28"/>
          <w:u w:val="single"/>
        </w:rPr>
        <w:t>Kính gửi</w:t>
      </w:r>
      <w:r w:rsidRPr="00D93BA2">
        <w:rPr>
          <w:b/>
          <w:sz w:val="28"/>
          <w:szCs w:val="28"/>
        </w:rPr>
        <w:t>: Đại hội đồng cổ đông của Công ty.</w:t>
      </w:r>
    </w:p>
    <w:p w:rsidR="00496C4C" w:rsidRPr="00D93BA2" w:rsidRDefault="00496C4C" w:rsidP="007058FF">
      <w:pPr>
        <w:spacing w:after="120"/>
        <w:jc w:val="both"/>
        <w:rPr>
          <w:b/>
          <w:spacing w:val="-2"/>
          <w:sz w:val="20"/>
          <w:szCs w:val="28"/>
        </w:rPr>
      </w:pPr>
    </w:p>
    <w:p w:rsidR="00951BB8" w:rsidRPr="00D93BA2" w:rsidRDefault="00951BB8" w:rsidP="00951BB8">
      <w:pPr>
        <w:pStyle w:val="ListParagraph"/>
        <w:numPr>
          <w:ilvl w:val="0"/>
          <w:numId w:val="25"/>
        </w:numPr>
        <w:spacing w:after="120" w:line="320" w:lineRule="atLeast"/>
        <w:jc w:val="both"/>
        <w:rPr>
          <w:spacing w:val="-2"/>
          <w:sz w:val="26"/>
          <w:szCs w:val="26"/>
        </w:rPr>
      </w:pPr>
      <w:r w:rsidRPr="00D93BA2">
        <w:rPr>
          <w:spacing w:val="-2"/>
          <w:sz w:val="26"/>
          <w:szCs w:val="26"/>
        </w:rPr>
        <w:t>Căn cứ vào Luật Doanh nghiệp số 68/2014/QH13 ngày 26/11/2014;</w:t>
      </w:r>
    </w:p>
    <w:p w:rsidR="00951BB8" w:rsidRPr="00D93BA2" w:rsidRDefault="00951BB8" w:rsidP="00951BB8">
      <w:pPr>
        <w:pStyle w:val="ListParagraph"/>
        <w:numPr>
          <w:ilvl w:val="0"/>
          <w:numId w:val="25"/>
        </w:numPr>
        <w:spacing w:after="120" w:line="320" w:lineRule="atLeast"/>
        <w:jc w:val="both"/>
        <w:rPr>
          <w:spacing w:val="-2"/>
          <w:sz w:val="26"/>
          <w:szCs w:val="26"/>
        </w:rPr>
      </w:pPr>
      <w:r w:rsidRPr="00D93BA2">
        <w:rPr>
          <w:spacing w:val="-2"/>
          <w:sz w:val="26"/>
          <w:szCs w:val="26"/>
        </w:rPr>
        <w:t>Căn cứ vào chức năng và nhiệm vụ của Ban kiểm soát được quy định trong Điều lệ của Công ty CP Hồng Hà Việt Nam;</w:t>
      </w:r>
    </w:p>
    <w:p w:rsidR="00951BB8" w:rsidRPr="00D93BA2" w:rsidRDefault="00951BB8" w:rsidP="00951BB8">
      <w:pPr>
        <w:spacing w:after="120" w:line="350" w:lineRule="atLeast"/>
        <w:ind w:left="357" w:firstLine="363"/>
        <w:jc w:val="both"/>
        <w:rPr>
          <w:spacing w:val="-2"/>
          <w:sz w:val="26"/>
          <w:szCs w:val="26"/>
        </w:rPr>
      </w:pPr>
      <w:r w:rsidRPr="00D93BA2">
        <w:rPr>
          <w:spacing w:val="-2"/>
          <w:sz w:val="26"/>
          <w:szCs w:val="26"/>
        </w:rPr>
        <w:t>Ban kiểm soát xin báo cáo trình Đại hội đồng cổ đông về tình hình hoạt động của Ban kiểm soát trong năm 2019 như sau:</w:t>
      </w:r>
    </w:p>
    <w:p w:rsidR="00496C4C" w:rsidRPr="00D93BA2" w:rsidRDefault="00496C4C" w:rsidP="00CE165C">
      <w:pPr>
        <w:spacing w:before="120" w:after="120" w:line="350" w:lineRule="atLeast"/>
        <w:ind w:left="360"/>
        <w:jc w:val="both"/>
        <w:rPr>
          <w:b/>
          <w:spacing w:val="-4"/>
          <w:sz w:val="26"/>
          <w:szCs w:val="26"/>
        </w:rPr>
      </w:pPr>
      <w:proofErr w:type="gramStart"/>
      <w:r w:rsidRPr="00D93BA2">
        <w:rPr>
          <w:b/>
          <w:spacing w:val="-4"/>
          <w:sz w:val="26"/>
          <w:szCs w:val="26"/>
        </w:rPr>
        <w:t>I/ Về hoạt động của Ban kiểm soát và công tác điều hành của Ban lãnh đạo Công ty.</w:t>
      </w:r>
      <w:proofErr w:type="gramEnd"/>
    </w:p>
    <w:p w:rsidR="00496C4C" w:rsidRPr="00D93BA2" w:rsidRDefault="00496C4C" w:rsidP="00CE165C">
      <w:pPr>
        <w:numPr>
          <w:ilvl w:val="0"/>
          <w:numId w:val="14"/>
        </w:numPr>
        <w:spacing w:after="120" w:line="350" w:lineRule="atLeast"/>
        <w:jc w:val="both"/>
        <w:rPr>
          <w:b/>
          <w:sz w:val="26"/>
          <w:szCs w:val="26"/>
        </w:rPr>
      </w:pPr>
      <w:r w:rsidRPr="00D93BA2">
        <w:rPr>
          <w:b/>
          <w:sz w:val="26"/>
          <w:szCs w:val="26"/>
        </w:rPr>
        <w:t xml:space="preserve">Hoạt động của Ban kiểm soát Công ty trong năm </w:t>
      </w:r>
      <w:r w:rsidR="006D1C5E" w:rsidRPr="00D93BA2">
        <w:rPr>
          <w:b/>
          <w:sz w:val="26"/>
          <w:szCs w:val="26"/>
        </w:rPr>
        <w:t>201</w:t>
      </w:r>
      <w:r w:rsidR="00951BB8" w:rsidRPr="00D93BA2">
        <w:rPr>
          <w:b/>
          <w:sz w:val="26"/>
          <w:szCs w:val="26"/>
        </w:rPr>
        <w:t>9</w:t>
      </w:r>
    </w:p>
    <w:p w:rsidR="00496C4C" w:rsidRPr="00D93BA2" w:rsidRDefault="00496C4C" w:rsidP="00CE165C">
      <w:pPr>
        <w:numPr>
          <w:ilvl w:val="0"/>
          <w:numId w:val="15"/>
        </w:numPr>
        <w:spacing w:after="120" w:line="350" w:lineRule="atLeast"/>
        <w:ind w:left="714" w:hanging="357"/>
        <w:jc w:val="both"/>
        <w:rPr>
          <w:sz w:val="26"/>
          <w:szCs w:val="28"/>
        </w:rPr>
      </w:pPr>
      <w:r w:rsidRPr="00D93BA2">
        <w:rPr>
          <w:sz w:val="26"/>
          <w:szCs w:val="28"/>
        </w:rPr>
        <w:t xml:space="preserve">Đại diện của Ban kiểm soát đã tham gia các cuộc họp của Hội đồng quản trị </w:t>
      </w:r>
      <w:r w:rsidR="00372230" w:rsidRPr="00D93BA2">
        <w:rPr>
          <w:sz w:val="26"/>
          <w:szCs w:val="28"/>
        </w:rPr>
        <w:t xml:space="preserve">(HĐQT) </w:t>
      </w:r>
      <w:r w:rsidRPr="00D93BA2">
        <w:rPr>
          <w:sz w:val="26"/>
          <w:szCs w:val="28"/>
        </w:rPr>
        <w:t xml:space="preserve">Công ty nhằm duy trì thường xuyên việc giám sát các hoạt động điều hành SXKD của Công ty; </w:t>
      </w:r>
    </w:p>
    <w:p w:rsidR="00496C4C" w:rsidRPr="00D93BA2" w:rsidRDefault="00496C4C" w:rsidP="00CE165C">
      <w:pPr>
        <w:numPr>
          <w:ilvl w:val="0"/>
          <w:numId w:val="15"/>
        </w:numPr>
        <w:spacing w:after="120" w:line="350" w:lineRule="atLeast"/>
        <w:ind w:left="714" w:hanging="357"/>
        <w:jc w:val="both"/>
        <w:rPr>
          <w:sz w:val="26"/>
          <w:szCs w:val="26"/>
        </w:rPr>
      </w:pPr>
      <w:r w:rsidRPr="00D93BA2">
        <w:rPr>
          <w:sz w:val="26"/>
          <w:szCs w:val="26"/>
        </w:rPr>
        <w:t xml:space="preserve">Giám sát việc thực hiện các nội dung theo Nghị quyết của </w:t>
      </w:r>
      <w:r w:rsidR="00372230" w:rsidRPr="00D93BA2">
        <w:rPr>
          <w:sz w:val="26"/>
          <w:szCs w:val="26"/>
        </w:rPr>
        <w:t>ĐHĐCĐ</w:t>
      </w:r>
      <w:r w:rsidRPr="00D93BA2">
        <w:rPr>
          <w:sz w:val="26"/>
          <w:szCs w:val="26"/>
        </w:rPr>
        <w:t xml:space="preserve">, các Nghị quyết, Quyết định của </w:t>
      </w:r>
      <w:r w:rsidR="00372230" w:rsidRPr="00D93BA2">
        <w:rPr>
          <w:sz w:val="26"/>
          <w:szCs w:val="26"/>
        </w:rPr>
        <w:t>HĐQT</w:t>
      </w:r>
      <w:r w:rsidRPr="00D93BA2">
        <w:rPr>
          <w:sz w:val="26"/>
          <w:szCs w:val="26"/>
        </w:rPr>
        <w:t>;</w:t>
      </w:r>
    </w:p>
    <w:p w:rsidR="00496C4C" w:rsidRPr="00D93BA2" w:rsidRDefault="00496C4C" w:rsidP="00CE165C">
      <w:pPr>
        <w:numPr>
          <w:ilvl w:val="0"/>
          <w:numId w:val="15"/>
        </w:numPr>
        <w:spacing w:after="120" w:line="350" w:lineRule="atLeast"/>
        <w:ind w:left="714" w:hanging="357"/>
        <w:jc w:val="both"/>
        <w:rPr>
          <w:sz w:val="26"/>
          <w:szCs w:val="26"/>
        </w:rPr>
      </w:pPr>
      <w:r w:rsidRPr="00D93BA2">
        <w:rPr>
          <w:sz w:val="26"/>
          <w:szCs w:val="26"/>
        </w:rPr>
        <w:t xml:space="preserve">Kiểm tra Báo cáo tài chính của Công ty 6 tháng đầu năm, cả năm </w:t>
      </w:r>
      <w:r w:rsidR="006D1C5E" w:rsidRPr="00D93BA2">
        <w:rPr>
          <w:sz w:val="26"/>
          <w:szCs w:val="26"/>
        </w:rPr>
        <w:t>201</w:t>
      </w:r>
      <w:r w:rsidR="00951BB8" w:rsidRPr="00D93BA2">
        <w:rPr>
          <w:sz w:val="26"/>
          <w:szCs w:val="26"/>
        </w:rPr>
        <w:t>9</w:t>
      </w:r>
      <w:r w:rsidRPr="00D93BA2">
        <w:rPr>
          <w:sz w:val="26"/>
          <w:szCs w:val="26"/>
        </w:rPr>
        <w:t>.</w:t>
      </w:r>
    </w:p>
    <w:p w:rsidR="00496C4C" w:rsidRPr="00D93BA2" w:rsidRDefault="00496C4C" w:rsidP="00CE165C">
      <w:pPr>
        <w:spacing w:before="120" w:after="120" w:line="350" w:lineRule="atLeast"/>
        <w:ind w:left="360"/>
        <w:jc w:val="both"/>
        <w:rPr>
          <w:b/>
          <w:sz w:val="26"/>
          <w:szCs w:val="26"/>
        </w:rPr>
      </w:pPr>
      <w:r w:rsidRPr="00D93BA2">
        <w:rPr>
          <w:b/>
          <w:sz w:val="26"/>
          <w:szCs w:val="26"/>
        </w:rPr>
        <w:t>2.  Đánh giá hoạt động của Ban lãnh đạo Công ty</w:t>
      </w:r>
    </w:p>
    <w:p w:rsidR="00496C4C" w:rsidRPr="00D93BA2" w:rsidRDefault="0059345B" w:rsidP="00CE165C">
      <w:pPr>
        <w:spacing w:line="350" w:lineRule="atLeast"/>
        <w:ind w:left="720" w:hanging="360"/>
        <w:jc w:val="both"/>
        <w:rPr>
          <w:sz w:val="26"/>
          <w:szCs w:val="26"/>
        </w:rPr>
      </w:pPr>
      <w:proofErr w:type="gramStart"/>
      <w:r w:rsidRPr="00D93BA2">
        <w:rPr>
          <w:b/>
          <w:sz w:val="26"/>
          <w:szCs w:val="26"/>
        </w:rPr>
        <w:t xml:space="preserve">*  </w:t>
      </w:r>
      <w:r w:rsidR="00496C4C" w:rsidRPr="00D93BA2">
        <w:rPr>
          <w:b/>
          <w:sz w:val="26"/>
          <w:szCs w:val="26"/>
        </w:rPr>
        <w:t>Công</w:t>
      </w:r>
      <w:proofErr w:type="gramEnd"/>
      <w:r w:rsidR="00496C4C" w:rsidRPr="00D93BA2">
        <w:rPr>
          <w:b/>
          <w:sz w:val="26"/>
          <w:szCs w:val="26"/>
        </w:rPr>
        <w:t xml:space="preserve"> tác xây lắp: </w:t>
      </w:r>
    </w:p>
    <w:p w:rsidR="006E342F" w:rsidRPr="00D93BA2" w:rsidRDefault="00951BB8" w:rsidP="0059345B">
      <w:pPr>
        <w:spacing w:after="120" w:line="350" w:lineRule="atLeast"/>
        <w:ind w:left="357" w:firstLine="363"/>
        <w:jc w:val="both"/>
        <w:rPr>
          <w:spacing w:val="-2"/>
          <w:sz w:val="26"/>
          <w:szCs w:val="26"/>
        </w:rPr>
      </w:pPr>
      <w:r w:rsidRPr="00D93BA2">
        <w:rPr>
          <w:spacing w:val="-2"/>
          <w:sz w:val="26"/>
          <w:szCs w:val="26"/>
        </w:rPr>
        <w:t xml:space="preserve">Trong năm 2019, hoạt động thi công xây lắp của Công ty chỉ đạt 68% kế hoạch (tương ứng với giá trị </w:t>
      </w:r>
      <w:proofErr w:type="gramStart"/>
      <w:r w:rsidRPr="00D93BA2">
        <w:rPr>
          <w:spacing w:val="-2"/>
          <w:sz w:val="26"/>
          <w:szCs w:val="26"/>
        </w:rPr>
        <w:t>sản  lượng</w:t>
      </w:r>
      <w:proofErr w:type="gramEnd"/>
      <w:r w:rsidRPr="00D93BA2">
        <w:rPr>
          <w:spacing w:val="-2"/>
          <w:sz w:val="26"/>
          <w:szCs w:val="26"/>
        </w:rPr>
        <w:t xml:space="preserve"> là 326 tỷ đồng), trong đó 2 công trình thi công chính là Công trình Bệnh viện Việt Đức cơ sở 2 và Tòa nhà CT11 thuộc Công trình nhà ở thương mại giai đoạn 1 đều gặp vướng mắc chờ điều chỉnh, phê duyệt từ Chủ đầu tư nên giá trị nghiệm thu của công trình đạt thấp.</w:t>
      </w:r>
      <w:r w:rsidR="00D47AE4" w:rsidRPr="00D93BA2">
        <w:rPr>
          <w:spacing w:val="-2"/>
          <w:sz w:val="26"/>
          <w:szCs w:val="26"/>
        </w:rPr>
        <w:t xml:space="preserve"> </w:t>
      </w:r>
    </w:p>
    <w:p w:rsidR="00807DA3" w:rsidRPr="00D93BA2" w:rsidRDefault="00AA6C3D" w:rsidP="004D5588">
      <w:pPr>
        <w:spacing w:after="120" w:line="350" w:lineRule="atLeast"/>
        <w:ind w:left="357" w:firstLine="363"/>
        <w:jc w:val="both"/>
        <w:rPr>
          <w:spacing w:val="-2"/>
          <w:sz w:val="26"/>
          <w:szCs w:val="26"/>
        </w:rPr>
      </w:pPr>
      <w:r w:rsidRPr="00D93BA2">
        <w:rPr>
          <w:spacing w:val="-2"/>
          <w:sz w:val="26"/>
          <w:szCs w:val="26"/>
        </w:rPr>
        <w:t>Trước tình hình đó, Hội đồng quản tr</w:t>
      </w:r>
      <w:r w:rsidR="00D47AE4" w:rsidRPr="00D93BA2">
        <w:rPr>
          <w:spacing w:val="-2"/>
          <w:sz w:val="26"/>
          <w:szCs w:val="26"/>
        </w:rPr>
        <w:t>ị, Ban lãnh đạo Công ty đã kiện toàn lại bộ máy nhân sự, tinh giản biên chế, nâng cao năng lực quản lý th</w:t>
      </w:r>
      <w:r w:rsidR="00030991" w:rsidRPr="00D93BA2">
        <w:rPr>
          <w:spacing w:val="-2"/>
          <w:sz w:val="26"/>
          <w:szCs w:val="26"/>
        </w:rPr>
        <w:t>ô</w:t>
      </w:r>
      <w:r w:rsidR="00D47AE4" w:rsidRPr="00D93BA2">
        <w:rPr>
          <w:spacing w:val="-2"/>
          <w:sz w:val="26"/>
          <w:szCs w:val="26"/>
        </w:rPr>
        <w:t>ng qua quá trình tái cấu trúc trên toàn hệ thống</w:t>
      </w:r>
      <w:r w:rsidR="00807DA3" w:rsidRPr="00D93BA2">
        <w:rPr>
          <w:spacing w:val="-2"/>
          <w:sz w:val="26"/>
          <w:szCs w:val="26"/>
        </w:rPr>
        <w:t xml:space="preserve">. </w:t>
      </w:r>
    </w:p>
    <w:p w:rsidR="00C8413A" w:rsidRPr="00D93BA2" w:rsidRDefault="0059345B" w:rsidP="00CE165C">
      <w:pPr>
        <w:spacing w:after="120" w:line="350" w:lineRule="atLeast"/>
        <w:ind w:left="714" w:hanging="354"/>
        <w:jc w:val="both"/>
        <w:rPr>
          <w:spacing w:val="-6"/>
          <w:sz w:val="26"/>
          <w:szCs w:val="26"/>
        </w:rPr>
      </w:pPr>
      <w:proofErr w:type="gramStart"/>
      <w:r w:rsidRPr="00D93BA2">
        <w:rPr>
          <w:b/>
          <w:sz w:val="26"/>
          <w:szCs w:val="26"/>
        </w:rPr>
        <w:t xml:space="preserve">*  </w:t>
      </w:r>
      <w:r w:rsidR="00496C4C" w:rsidRPr="00D93BA2">
        <w:rPr>
          <w:b/>
          <w:sz w:val="26"/>
          <w:szCs w:val="26"/>
        </w:rPr>
        <w:t>Công</w:t>
      </w:r>
      <w:proofErr w:type="gramEnd"/>
      <w:r w:rsidR="00496C4C" w:rsidRPr="00D93BA2">
        <w:rPr>
          <w:b/>
          <w:spacing w:val="-6"/>
          <w:sz w:val="26"/>
          <w:szCs w:val="26"/>
        </w:rPr>
        <w:t xml:space="preserve"> tác đầu tư:</w:t>
      </w:r>
      <w:r w:rsidR="00496C4C" w:rsidRPr="00D93BA2">
        <w:rPr>
          <w:spacing w:val="-6"/>
          <w:sz w:val="26"/>
          <w:szCs w:val="26"/>
        </w:rPr>
        <w:t xml:space="preserve">  Trong năm </w:t>
      </w:r>
      <w:r w:rsidR="006D1C5E" w:rsidRPr="00D93BA2">
        <w:rPr>
          <w:spacing w:val="-6"/>
          <w:sz w:val="26"/>
          <w:szCs w:val="26"/>
        </w:rPr>
        <w:t>201</w:t>
      </w:r>
      <w:r w:rsidR="004D5588" w:rsidRPr="00D93BA2">
        <w:rPr>
          <w:spacing w:val="-6"/>
          <w:sz w:val="26"/>
          <w:szCs w:val="26"/>
        </w:rPr>
        <w:t>9</w:t>
      </w:r>
      <w:r w:rsidR="00496C4C" w:rsidRPr="00D93BA2">
        <w:rPr>
          <w:spacing w:val="-6"/>
          <w:sz w:val="26"/>
          <w:szCs w:val="26"/>
        </w:rPr>
        <w:t xml:space="preserve">, Công ty </w:t>
      </w:r>
      <w:r w:rsidR="00C8413A" w:rsidRPr="00D93BA2">
        <w:rPr>
          <w:spacing w:val="-6"/>
          <w:sz w:val="26"/>
          <w:szCs w:val="26"/>
        </w:rPr>
        <w:t>tiếp tục giữ vững mục tiêu</w:t>
      </w:r>
      <w:r w:rsidR="00496C4C" w:rsidRPr="00D93BA2">
        <w:rPr>
          <w:spacing w:val="-6"/>
          <w:sz w:val="26"/>
          <w:szCs w:val="26"/>
        </w:rPr>
        <w:t xml:space="preserve"> chuyển đổi hoạt động SXKD từ xây lắp là chủ đạo sang lĩnh vực đ</w:t>
      </w:r>
      <w:r w:rsidR="00D47AE4" w:rsidRPr="00D93BA2">
        <w:rPr>
          <w:spacing w:val="-6"/>
          <w:sz w:val="26"/>
          <w:szCs w:val="26"/>
        </w:rPr>
        <w:t>ầu tư, kinh doanh bất động sản: Công ty triển khai Dự án Nhà ở TM tại khu đô thị Hồng Hà Ecocity, đồng thời tiếp tục hoàn thiện thủ tục các dự án còn lại</w:t>
      </w:r>
      <w:r w:rsidR="00CB1F0E" w:rsidRPr="00D93BA2">
        <w:rPr>
          <w:spacing w:val="-6"/>
          <w:sz w:val="26"/>
          <w:szCs w:val="26"/>
        </w:rPr>
        <w:t xml:space="preserve"> và Dự án Tòa nhà văn phòng 407 Nguyễn An Ninh, TP Vũng Tầu</w:t>
      </w:r>
      <w:r w:rsidR="00D47AE4" w:rsidRPr="00D93BA2">
        <w:rPr>
          <w:spacing w:val="-6"/>
          <w:sz w:val="26"/>
          <w:szCs w:val="26"/>
        </w:rPr>
        <w:t>.</w:t>
      </w:r>
      <w:r w:rsidR="006E342F" w:rsidRPr="00D93BA2">
        <w:rPr>
          <w:spacing w:val="-6"/>
          <w:sz w:val="26"/>
          <w:szCs w:val="26"/>
        </w:rPr>
        <w:t xml:space="preserve"> </w:t>
      </w:r>
    </w:p>
    <w:p w:rsidR="0059345B" w:rsidRPr="00D93BA2" w:rsidRDefault="0059345B" w:rsidP="00CD368A">
      <w:pPr>
        <w:spacing w:line="350" w:lineRule="atLeast"/>
        <w:ind w:left="714" w:hanging="354"/>
        <w:jc w:val="both"/>
        <w:rPr>
          <w:b/>
          <w:sz w:val="26"/>
          <w:szCs w:val="26"/>
        </w:rPr>
      </w:pPr>
      <w:proofErr w:type="gramStart"/>
      <w:r w:rsidRPr="00D93BA2">
        <w:rPr>
          <w:b/>
          <w:sz w:val="26"/>
          <w:szCs w:val="26"/>
        </w:rPr>
        <w:t>*  Công</w:t>
      </w:r>
      <w:proofErr w:type="gramEnd"/>
      <w:r w:rsidRPr="00D93BA2">
        <w:rPr>
          <w:b/>
          <w:sz w:val="26"/>
          <w:szCs w:val="26"/>
        </w:rPr>
        <w:t xml:space="preserve"> tác đầu tư góp vốn và</w:t>
      </w:r>
      <w:r w:rsidR="004F3420" w:rsidRPr="00D93BA2">
        <w:rPr>
          <w:b/>
          <w:sz w:val="26"/>
          <w:szCs w:val="26"/>
        </w:rPr>
        <w:t>o</w:t>
      </w:r>
      <w:r w:rsidRPr="00D93BA2">
        <w:rPr>
          <w:b/>
          <w:sz w:val="26"/>
          <w:szCs w:val="26"/>
        </w:rPr>
        <w:t xml:space="preserve"> các Công ty con, Công ty liên doanh, liên kết:</w:t>
      </w:r>
    </w:p>
    <w:p w:rsidR="0059345B" w:rsidRPr="00D93BA2" w:rsidRDefault="00D106F7" w:rsidP="00CD368A">
      <w:pPr>
        <w:spacing w:line="350" w:lineRule="atLeast"/>
        <w:ind w:left="714"/>
        <w:jc w:val="both"/>
        <w:rPr>
          <w:sz w:val="26"/>
          <w:szCs w:val="26"/>
        </w:rPr>
      </w:pPr>
      <w:r w:rsidRPr="00D93BA2">
        <w:rPr>
          <w:sz w:val="26"/>
          <w:szCs w:val="26"/>
        </w:rPr>
        <w:t>Danh mục các Công ty có đầu tư liên doanh, liên kết</w:t>
      </w:r>
      <w:r w:rsidR="00AD3715" w:rsidRPr="00D93BA2">
        <w:rPr>
          <w:sz w:val="26"/>
          <w:szCs w:val="26"/>
        </w:rPr>
        <w:t xml:space="preserve"> và số vốn góp tại 31/12/2019</w:t>
      </w:r>
      <w:r w:rsidRPr="00D93BA2">
        <w:rPr>
          <w:sz w:val="26"/>
          <w:szCs w:val="26"/>
        </w:rPr>
        <w:t>:</w:t>
      </w:r>
    </w:p>
    <w:tbl>
      <w:tblPr>
        <w:tblStyle w:val="TableGrid"/>
        <w:tblW w:w="10031" w:type="dxa"/>
        <w:tblLayout w:type="fixed"/>
        <w:tblLook w:val="04A0" w:firstRow="1" w:lastRow="0" w:firstColumn="1" w:lastColumn="0" w:noHBand="0" w:noVBand="1"/>
      </w:tblPr>
      <w:tblGrid>
        <w:gridCol w:w="563"/>
        <w:gridCol w:w="2664"/>
        <w:gridCol w:w="1134"/>
        <w:gridCol w:w="1148"/>
        <w:gridCol w:w="2112"/>
        <w:gridCol w:w="2410"/>
      </w:tblGrid>
      <w:tr w:rsidR="0033661A" w:rsidRPr="00D93BA2" w:rsidTr="008B5809">
        <w:tc>
          <w:tcPr>
            <w:tcW w:w="563" w:type="dxa"/>
            <w:vAlign w:val="center"/>
          </w:tcPr>
          <w:p w:rsidR="0033661A" w:rsidRPr="00D93BA2" w:rsidRDefault="0033661A" w:rsidP="00CD368A">
            <w:pPr>
              <w:tabs>
                <w:tab w:val="left" w:pos="567"/>
              </w:tabs>
              <w:jc w:val="center"/>
              <w:rPr>
                <w:b/>
                <w:bCs/>
                <w:szCs w:val="26"/>
              </w:rPr>
            </w:pPr>
            <w:r w:rsidRPr="00D93BA2">
              <w:rPr>
                <w:b/>
                <w:bCs/>
                <w:szCs w:val="26"/>
              </w:rPr>
              <w:lastRenderedPageBreak/>
              <w:t>TT</w:t>
            </w:r>
          </w:p>
        </w:tc>
        <w:tc>
          <w:tcPr>
            <w:tcW w:w="2664" w:type="dxa"/>
            <w:vAlign w:val="center"/>
          </w:tcPr>
          <w:p w:rsidR="0033661A" w:rsidRPr="00D93BA2" w:rsidRDefault="0033661A" w:rsidP="00CD368A">
            <w:pPr>
              <w:tabs>
                <w:tab w:val="left" w:pos="567"/>
              </w:tabs>
              <w:jc w:val="center"/>
              <w:rPr>
                <w:b/>
                <w:bCs/>
                <w:szCs w:val="26"/>
              </w:rPr>
            </w:pPr>
            <w:r w:rsidRPr="00D93BA2">
              <w:rPr>
                <w:b/>
                <w:bCs/>
                <w:szCs w:val="26"/>
              </w:rPr>
              <w:t>Tên Công ty</w:t>
            </w:r>
          </w:p>
        </w:tc>
        <w:tc>
          <w:tcPr>
            <w:tcW w:w="1134" w:type="dxa"/>
            <w:vAlign w:val="center"/>
          </w:tcPr>
          <w:p w:rsidR="0033661A" w:rsidRPr="00D93BA2" w:rsidRDefault="0033661A" w:rsidP="00CD368A">
            <w:pPr>
              <w:tabs>
                <w:tab w:val="left" w:pos="567"/>
              </w:tabs>
              <w:jc w:val="center"/>
              <w:rPr>
                <w:b/>
                <w:bCs/>
                <w:spacing w:val="-18"/>
                <w:szCs w:val="26"/>
              </w:rPr>
            </w:pPr>
            <w:r w:rsidRPr="00D93BA2">
              <w:rPr>
                <w:b/>
                <w:bCs/>
                <w:spacing w:val="-18"/>
                <w:szCs w:val="26"/>
              </w:rPr>
              <w:t>Giá trị đầu tư</w:t>
            </w:r>
          </w:p>
          <w:p w:rsidR="0033661A" w:rsidRPr="00D93BA2" w:rsidRDefault="0033661A" w:rsidP="00CD368A">
            <w:pPr>
              <w:tabs>
                <w:tab w:val="left" w:pos="567"/>
              </w:tabs>
              <w:jc w:val="center"/>
              <w:rPr>
                <w:b/>
                <w:bCs/>
                <w:spacing w:val="-18"/>
                <w:szCs w:val="26"/>
              </w:rPr>
            </w:pPr>
            <w:r w:rsidRPr="00D93BA2">
              <w:rPr>
                <w:b/>
                <w:bCs/>
                <w:spacing w:val="-18"/>
                <w:szCs w:val="26"/>
              </w:rPr>
              <w:t>(tỷ đồng)</w:t>
            </w:r>
          </w:p>
        </w:tc>
        <w:tc>
          <w:tcPr>
            <w:tcW w:w="1148" w:type="dxa"/>
            <w:vAlign w:val="center"/>
          </w:tcPr>
          <w:p w:rsidR="0033661A" w:rsidRPr="00D93BA2" w:rsidRDefault="0033661A" w:rsidP="00CD368A">
            <w:pPr>
              <w:tabs>
                <w:tab w:val="left" w:pos="567"/>
              </w:tabs>
              <w:jc w:val="center"/>
              <w:rPr>
                <w:b/>
                <w:bCs/>
                <w:spacing w:val="-18"/>
                <w:szCs w:val="26"/>
              </w:rPr>
            </w:pPr>
            <w:r w:rsidRPr="00D93BA2">
              <w:rPr>
                <w:b/>
                <w:bCs/>
                <w:spacing w:val="-18"/>
                <w:szCs w:val="26"/>
              </w:rPr>
              <w:t>Giá trị theo CP (tỷ đồng)</w:t>
            </w:r>
          </w:p>
        </w:tc>
        <w:tc>
          <w:tcPr>
            <w:tcW w:w="2112" w:type="dxa"/>
            <w:vAlign w:val="bottom"/>
          </w:tcPr>
          <w:p w:rsidR="0033661A" w:rsidRPr="00D93BA2" w:rsidRDefault="0033661A" w:rsidP="008B5809">
            <w:pPr>
              <w:tabs>
                <w:tab w:val="left" w:pos="567"/>
              </w:tabs>
              <w:jc w:val="center"/>
              <w:rPr>
                <w:b/>
                <w:bCs/>
                <w:szCs w:val="26"/>
              </w:rPr>
            </w:pPr>
            <w:r w:rsidRPr="00D93BA2">
              <w:rPr>
                <w:b/>
                <w:bCs/>
                <w:szCs w:val="26"/>
              </w:rPr>
              <w:t>Quan hệ đầu tư /Tỷ lệ sở hữu</w:t>
            </w:r>
          </w:p>
          <w:p w:rsidR="0033661A" w:rsidRPr="00D93BA2" w:rsidRDefault="0033661A" w:rsidP="008B5809">
            <w:pPr>
              <w:tabs>
                <w:tab w:val="left" w:pos="567"/>
              </w:tabs>
              <w:jc w:val="center"/>
              <w:rPr>
                <w:b/>
                <w:bCs/>
                <w:szCs w:val="26"/>
              </w:rPr>
            </w:pPr>
          </w:p>
        </w:tc>
        <w:tc>
          <w:tcPr>
            <w:tcW w:w="2410" w:type="dxa"/>
            <w:vAlign w:val="center"/>
          </w:tcPr>
          <w:p w:rsidR="008B5809" w:rsidRPr="00D93BA2" w:rsidRDefault="0033661A" w:rsidP="00CD368A">
            <w:pPr>
              <w:tabs>
                <w:tab w:val="left" w:pos="567"/>
              </w:tabs>
              <w:jc w:val="center"/>
              <w:rPr>
                <w:b/>
                <w:bCs/>
                <w:szCs w:val="26"/>
              </w:rPr>
            </w:pPr>
            <w:r w:rsidRPr="00D93BA2">
              <w:rPr>
                <w:b/>
                <w:bCs/>
                <w:szCs w:val="26"/>
              </w:rPr>
              <w:t xml:space="preserve">Ngành nghề </w:t>
            </w:r>
          </w:p>
          <w:p w:rsidR="0033661A" w:rsidRPr="00D93BA2" w:rsidRDefault="0033661A" w:rsidP="00CD368A">
            <w:pPr>
              <w:tabs>
                <w:tab w:val="left" w:pos="567"/>
              </w:tabs>
              <w:jc w:val="center"/>
              <w:rPr>
                <w:b/>
                <w:bCs/>
                <w:szCs w:val="26"/>
              </w:rPr>
            </w:pPr>
            <w:r w:rsidRPr="00D93BA2">
              <w:rPr>
                <w:b/>
                <w:bCs/>
                <w:szCs w:val="26"/>
              </w:rPr>
              <w:t>SXKD chính</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1</w:t>
            </w:r>
          </w:p>
        </w:tc>
        <w:tc>
          <w:tcPr>
            <w:tcW w:w="2664" w:type="dxa"/>
          </w:tcPr>
          <w:p w:rsidR="0033661A" w:rsidRPr="00D93BA2" w:rsidRDefault="0033661A" w:rsidP="00CD368A">
            <w:pPr>
              <w:tabs>
                <w:tab w:val="left" w:pos="567"/>
              </w:tabs>
              <w:jc w:val="both"/>
              <w:rPr>
                <w:szCs w:val="26"/>
              </w:rPr>
            </w:pPr>
            <w:r w:rsidRPr="00D93BA2">
              <w:rPr>
                <w:szCs w:val="26"/>
              </w:rPr>
              <w:t>Công ty CP Hồng Hà Hà Nội</w:t>
            </w:r>
          </w:p>
        </w:tc>
        <w:tc>
          <w:tcPr>
            <w:tcW w:w="1134" w:type="dxa"/>
          </w:tcPr>
          <w:p w:rsidR="0033661A" w:rsidRPr="00D93BA2" w:rsidRDefault="0033661A" w:rsidP="00CD368A">
            <w:pPr>
              <w:tabs>
                <w:tab w:val="left" w:pos="567"/>
              </w:tabs>
              <w:jc w:val="right"/>
              <w:rPr>
                <w:szCs w:val="26"/>
              </w:rPr>
            </w:pPr>
            <w:r w:rsidRPr="00D93BA2">
              <w:rPr>
                <w:szCs w:val="26"/>
              </w:rPr>
              <w:t>9,06</w:t>
            </w:r>
          </w:p>
        </w:tc>
        <w:tc>
          <w:tcPr>
            <w:tcW w:w="1148" w:type="dxa"/>
          </w:tcPr>
          <w:p w:rsidR="0033661A" w:rsidRPr="00D93BA2" w:rsidRDefault="0033661A" w:rsidP="00CD368A">
            <w:pPr>
              <w:tabs>
                <w:tab w:val="left" w:pos="567"/>
              </w:tabs>
              <w:jc w:val="right"/>
              <w:rPr>
                <w:szCs w:val="26"/>
              </w:rPr>
            </w:pPr>
            <w:r w:rsidRPr="00D93BA2">
              <w:rPr>
                <w:szCs w:val="26"/>
              </w:rPr>
              <w:t>9,06</w:t>
            </w:r>
          </w:p>
        </w:tc>
        <w:tc>
          <w:tcPr>
            <w:tcW w:w="2112" w:type="dxa"/>
          </w:tcPr>
          <w:p w:rsidR="0033661A" w:rsidRPr="00D93BA2" w:rsidRDefault="0033661A" w:rsidP="0033661A">
            <w:pPr>
              <w:tabs>
                <w:tab w:val="left" w:pos="567"/>
              </w:tabs>
              <w:jc w:val="center"/>
              <w:rPr>
                <w:szCs w:val="26"/>
              </w:rPr>
            </w:pPr>
            <w:r w:rsidRPr="00D93BA2">
              <w:rPr>
                <w:szCs w:val="26"/>
              </w:rPr>
              <w:t xml:space="preserve">Công ty Mẹ - Con </w:t>
            </w:r>
            <w:r w:rsidRPr="00D93BA2">
              <w:rPr>
                <w:i/>
                <w:szCs w:val="26"/>
              </w:rPr>
              <w:t>(tỷ lệ quyền biểu quyết 75,50 % )</w:t>
            </w:r>
          </w:p>
        </w:tc>
        <w:tc>
          <w:tcPr>
            <w:tcW w:w="2410" w:type="dxa"/>
          </w:tcPr>
          <w:p w:rsidR="0033661A" w:rsidRPr="00D93BA2" w:rsidRDefault="0033661A" w:rsidP="00CD368A">
            <w:pPr>
              <w:tabs>
                <w:tab w:val="left" w:pos="567"/>
              </w:tabs>
              <w:jc w:val="both"/>
              <w:rPr>
                <w:szCs w:val="26"/>
              </w:rPr>
            </w:pPr>
            <w:r w:rsidRPr="00D93BA2">
              <w:rPr>
                <w:szCs w:val="26"/>
              </w:rPr>
              <w:t>Thi công xây lắp</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2</w:t>
            </w:r>
          </w:p>
        </w:tc>
        <w:tc>
          <w:tcPr>
            <w:tcW w:w="2664" w:type="dxa"/>
          </w:tcPr>
          <w:p w:rsidR="0033661A" w:rsidRPr="00D93BA2" w:rsidRDefault="0033661A" w:rsidP="00CD368A">
            <w:pPr>
              <w:tabs>
                <w:tab w:val="left" w:pos="567"/>
              </w:tabs>
              <w:jc w:val="both"/>
              <w:rPr>
                <w:szCs w:val="26"/>
              </w:rPr>
            </w:pPr>
            <w:r w:rsidRPr="00D93BA2">
              <w:rPr>
                <w:szCs w:val="26"/>
              </w:rPr>
              <w:t>Công ty CP Tứ Hiệp Hồng Hà Dầu Khí</w:t>
            </w:r>
          </w:p>
        </w:tc>
        <w:tc>
          <w:tcPr>
            <w:tcW w:w="1134" w:type="dxa"/>
          </w:tcPr>
          <w:p w:rsidR="0033661A" w:rsidRPr="00D93BA2" w:rsidRDefault="0033661A" w:rsidP="00CD368A">
            <w:pPr>
              <w:tabs>
                <w:tab w:val="left" w:pos="567"/>
              </w:tabs>
              <w:jc w:val="right"/>
              <w:rPr>
                <w:bCs/>
                <w:szCs w:val="26"/>
              </w:rPr>
            </w:pPr>
            <w:r w:rsidRPr="00D93BA2">
              <w:rPr>
                <w:bCs/>
                <w:szCs w:val="26"/>
              </w:rPr>
              <w:t>202,3</w:t>
            </w:r>
          </w:p>
        </w:tc>
        <w:tc>
          <w:tcPr>
            <w:tcW w:w="1148" w:type="dxa"/>
          </w:tcPr>
          <w:p w:rsidR="0033661A" w:rsidRPr="00D93BA2" w:rsidRDefault="0033661A" w:rsidP="00CD368A">
            <w:pPr>
              <w:tabs>
                <w:tab w:val="left" w:pos="567"/>
              </w:tabs>
              <w:jc w:val="right"/>
              <w:rPr>
                <w:szCs w:val="26"/>
              </w:rPr>
            </w:pPr>
            <w:r w:rsidRPr="00D93BA2">
              <w:rPr>
                <w:szCs w:val="26"/>
              </w:rPr>
              <w:t>157,08</w:t>
            </w:r>
          </w:p>
        </w:tc>
        <w:tc>
          <w:tcPr>
            <w:tcW w:w="2112" w:type="dxa"/>
          </w:tcPr>
          <w:p w:rsidR="0033661A" w:rsidRPr="00D93BA2" w:rsidRDefault="0033661A" w:rsidP="0033661A">
            <w:pPr>
              <w:tabs>
                <w:tab w:val="left" w:pos="567"/>
              </w:tabs>
              <w:jc w:val="center"/>
              <w:rPr>
                <w:szCs w:val="26"/>
              </w:rPr>
            </w:pPr>
            <w:r w:rsidRPr="00D93BA2">
              <w:rPr>
                <w:szCs w:val="26"/>
              </w:rPr>
              <w:t xml:space="preserve">Công ty Mẹ - Con </w:t>
            </w:r>
            <w:r w:rsidRPr="00D93BA2">
              <w:rPr>
                <w:i/>
                <w:szCs w:val="26"/>
              </w:rPr>
              <w:t xml:space="preserve">(tỷ lệ quyền biểu quyết </w:t>
            </w:r>
            <w:r w:rsidRPr="00D93BA2">
              <w:rPr>
                <w:szCs w:val="26"/>
              </w:rPr>
              <w:t>63</w:t>
            </w:r>
            <w:proofErr w:type="gramStart"/>
            <w:r w:rsidRPr="00D93BA2">
              <w:rPr>
                <w:szCs w:val="26"/>
              </w:rPr>
              <w:t>,85</w:t>
            </w:r>
            <w:proofErr w:type="gramEnd"/>
            <w:r w:rsidRPr="00D93BA2">
              <w:rPr>
                <w:szCs w:val="26"/>
              </w:rPr>
              <w:t xml:space="preserve"> %)</w:t>
            </w:r>
          </w:p>
        </w:tc>
        <w:tc>
          <w:tcPr>
            <w:tcW w:w="2410" w:type="dxa"/>
          </w:tcPr>
          <w:p w:rsidR="0033661A" w:rsidRPr="00D93BA2" w:rsidRDefault="0033661A" w:rsidP="00CD368A">
            <w:pPr>
              <w:tabs>
                <w:tab w:val="left" w:pos="567"/>
              </w:tabs>
              <w:jc w:val="both"/>
              <w:rPr>
                <w:szCs w:val="26"/>
              </w:rPr>
            </w:pPr>
            <w:r w:rsidRPr="00D93BA2">
              <w:rPr>
                <w:szCs w:val="26"/>
              </w:rPr>
              <w:t>Đầu tư kinh doanh BĐS</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3</w:t>
            </w:r>
          </w:p>
        </w:tc>
        <w:tc>
          <w:tcPr>
            <w:tcW w:w="2664" w:type="dxa"/>
          </w:tcPr>
          <w:p w:rsidR="0033661A" w:rsidRPr="00D93BA2" w:rsidRDefault="0033661A" w:rsidP="00CD368A">
            <w:pPr>
              <w:tabs>
                <w:tab w:val="left" w:pos="567"/>
              </w:tabs>
              <w:jc w:val="both"/>
              <w:rPr>
                <w:spacing w:val="-8"/>
                <w:szCs w:val="26"/>
              </w:rPr>
            </w:pPr>
            <w:r w:rsidRPr="00D93BA2">
              <w:rPr>
                <w:spacing w:val="-8"/>
                <w:szCs w:val="26"/>
              </w:rPr>
              <w:t>Công ty CP Sông Đáy Hồng Hà Dầu Khí</w:t>
            </w:r>
          </w:p>
        </w:tc>
        <w:tc>
          <w:tcPr>
            <w:tcW w:w="1134" w:type="dxa"/>
          </w:tcPr>
          <w:p w:rsidR="0033661A" w:rsidRPr="00D93BA2" w:rsidRDefault="0033661A" w:rsidP="00CD368A">
            <w:pPr>
              <w:tabs>
                <w:tab w:val="left" w:pos="567"/>
              </w:tabs>
              <w:jc w:val="right"/>
              <w:rPr>
                <w:szCs w:val="26"/>
              </w:rPr>
            </w:pPr>
            <w:r w:rsidRPr="00D93BA2">
              <w:rPr>
                <w:szCs w:val="26"/>
              </w:rPr>
              <w:t>26,3</w:t>
            </w:r>
          </w:p>
        </w:tc>
        <w:tc>
          <w:tcPr>
            <w:tcW w:w="1148" w:type="dxa"/>
          </w:tcPr>
          <w:p w:rsidR="0033661A" w:rsidRPr="00D93BA2" w:rsidRDefault="0033661A" w:rsidP="00CD368A">
            <w:pPr>
              <w:tabs>
                <w:tab w:val="left" w:pos="567"/>
              </w:tabs>
              <w:jc w:val="right"/>
              <w:rPr>
                <w:szCs w:val="26"/>
              </w:rPr>
            </w:pPr>
            <w:r w:rsidRPr="00D93BA2">
              <w:rPr>
                <w:szCs w:val="26"/>
              </w:rPr>
              <w:t>26,3</w:t>
            </w:r>
          </w:p>
        </w:tc>
        <w:tc>
          <w:tcPr>
            <w:tcW w:w="2112" w:type="dxa"/>
          </w:tcPr>
          <w:p w:rsidR="0033661A" w:rsidRPr="00D93BA2" w:rsidRDefault="0033661A" w:rsidP="0033661A">
            <w:pPr>
              <w:tabs>
                <w:tab w:val="left" w:pos="567"/>
              </w:tabs>
              <w:jc w:val="center"/>
              <w:rPr>
                <w:szCs w:val="26"/>
              </w:rPr>
            </w:pPr>
            <w:r w:rsidRPr="00D93BA2">
              <w:rPr>
                <w:szCs w:val="26"/>
              </w:rPr>
              <w:t xml:space="preserve">Công ty liên kết </w:t>
            </w:r>
            <w:r w:rsidRPr="00D93BA2">
              <w:rPr>
                <w:i/>
                <w:szCs w:val="26"/>
              </w:rPr>
              <w:t>(tỷ lệ quyền biểu quyết 43</w:t>
            </w:r>
            <w:proofErr w:type="gramStart"/>
            <w:r w:rsidRPr="00D93BA2">
              <w:rPr>
                <w:i/>
                <w:szCs w:val="26"/>
              </w:rPr>
              <w:t>,83</w:t>
            </w:r>
            <w:proofErr w:type="gramEnd"/>
            <w:r w:rsidRPr="00D93BA2">
              <w:rPr>
                <w:i/>
                <w:szCs w:val="26"/>
              </w:rPr>
              <w:t xml:space="preserve"> %)</w:t>
            </w:r>
          </w:p>
        </w:tc>
        <w:tc>
          <w:tcPr>
            <w:tcW w:w="2410" w:type="dxa"/>
          </w:tcPr>
          <w:p w:rsidR="0033661A" w:rsidRPr="00D93BA2" w:rsidRDefault="0033661A" w:rsidP="00CD368A">
            <w:pPr>
              <w:tabs>
                <w:tab w:val="left" w:pos="567"/>
              </w:tabs>
              <w:jc w:val="both"/>
              <w:rPr>
                <w:szCs w:val="26"/>
              </w:rPr>
            </w:pPr>
            <w:r w:rsidRPr="00D93BA2">
              <w:rPr>
                <w:szCs w:val="26"/>
              </w:rPr>
              <w:t>SX gạch khí chưng áp ACC</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4</w:t>
            </w:r>
          </w:p>
        </w:tc>
        <w:tc>
          <w:tcPr>
            <w:tcW w:w="2664" w:type="dxa"/>
          </w:tcPr>
          <w:p w:rsidR="0033661A" w:rsidRPr="00D93BA2" w:rsidRDefault="0033661A" w:rsidP="00CD368A">
            <w:pPr>
              <w:tabs>
                <w:tab w:val="left" w:pos="567"/>
              </w:tabs>
              <w:jc w:val="both"/>
              <w:rPr>
                <w:szCs w:val="26"/>
              </w:rPr>
            </w:pPr>
            <w:r w:rsidRPr="00D93BA2">
              <w:rPr>
                <w:szCs w:val="26"/>
              </w:rPr>
              <w:t>Công ty CP Các giải pháp nội thất</w:t>
            </w:r>
          </w:p>
        </w:tc>
        <w:tc>
          <w:tcPr>
            <w:tcW w:w="1134" w:type="dxa"/>
          </w:tcPr>
          <w:p w:rsidR="0033661A" w:rsidRPr="00D93BA2" w:rsidRDefault="0033661A" w:rsidP="00CD368A">
            <w:pPr>
              <w:tabs>
                <w:tab w:val="left" w:pos="567"/>
              </w:tabs>
              <w:jc w:val="right"/>
              <w:rPr>
                <w:szCs w:val="26"/>
              </w:rPr>
            </w:pPr>
            <w:r w:rsidRPr="00D93BA2">
              <w:rPr>
                <w:szCs w:val="26"/>
              </w:rPr>
              <w:t>4,5</w:t>
            </w:r>
          </w:p>
        </w:tc>
        <w:tc>
          <w:tcPr>
            <w:tcW w:w="1148" w:type="dxa"/>
          </w:tcPr>
          <w:p w:rsidR="0033661A" w:rsidRPr="00D93BA2" w:rsidRDefault="0033661A" w:rsidP="00CD368A">
            <w:pPr>
              <w:tabs>
                <w:tab w:val="left" w:pos="567"/>
              </w:tabs>
              <w:jc w:val="right"/>
              <w:rPr>
                <w:szCs w:val="26"/>
              </w:rPr>
            </w:pPr>
            <w:r w:rsidRPr="00D93BA2">
              <w:rPr>
                <w:szCs w:val="26"/>
              </w:rPr>
              <w:t>4,5</w:t>
            </w:r>
          </w:p>
        </w:tc>
        <w:tc>
          <w:tcPr>
            <w:tcW w:w="2112" w:type="dxa"/>
          </w:tcPr>
          <w:p w:rsidR="0033661A" w:rsidRPr="00D93BA2" w:rsidRDefault="0033661A" w:rsidP="0033661A">
            <w:pPr>
              <w:tabs>
                <w:tab w:val="left" w:pos="567"/>
              </w:tabs>
              <w:jc w:val="center"/>
              <w:rPr>
                <w:szCs w:val="26"/>
              </w:rPr>
            </w:pPr>
            <w:r w:rsidRPr="00D93BA2">
              <w:rPr>
                <w:szCs w:val="26"/>
              </w:rPr>
              <w:t xml:space="preserve">Công ty liên kết </w:t>
            </w:r>
            <w:r w:rsidRPr="00D93BA2">
              <w:rPr>
                <w:i/>
                <w:szCs w:val="26"/>
              </w:rPr>
              <w:t>(tỷ lệ quyền biểu quyết 33,00 %</w:t>
            </w:r>
          </w:p>
        </w:tc>
        <w:tc>
          <w:tcPr>
            <w:tcW w:w="2410" w:type="dxa"/>
          </w:tcPr>
          <w:p w:rsidR="0033661A" w:rsidRPr="00D93BA2" w:rsidRDefault="0033661A" w:rsidP="00CD368A">
            <w:pPr>
              <w:tabs>
                <w:tab w:val="left" w:pos="567"/>
              </w:tabs>
              <w:jc w:val="both"/>
              <w:rPr>
                <w:szCs w:val="26"/>
              </w:rPr>
            </w:pPr>
            <w:r w:rsidRPr="00D93BA2">
              <w:rPr>
                <w:szCs w:val="26"/>
              </w:rPr>
              <w:t>SX thi công nội thất</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5</w:t>
            </w:r>
          </w:p>
        </w:tc>
        <w:tc>
          <w:tcPr>
            <w:tcW w:w="2664" w:type="dxa"/>
          </w:tcPr>
          <w:p w:rsidR="0033661A" w:rsidRPr="00D93BA2" w:rsidRDefault="0033661A" w:rsidP="00CD368A">
            <w:pPr>
              <w:tabs>
                <w:tab w:val="left" w:pos="567"/>
              </w:tabs>
              <w:jc w:val="both"/>
              <w:rPr>
                <w:szCs w:val="26"/>
              </w:rPr>
            </w:pPr>
            <w:r w:rsidRPr="00D93BA2">
              <w:rPr>
                <w:szCs w:val="26"/>
              </w:rPr>
              <w:t>Công ty CP XNK Thủy sản Quảng Ninh</w:t>
            </w:r>
          </w:p>
        </w:tc>
        <w:tc>
          <w:tcPr>
            <w:tcW w:w="1134" w:type="dxa"/>
          </w:tcPr>
          <w:p w:rsidR="0033661A" w:rsidRPr="00D93BA2" w:rsidRDefault="0033661A" w:rsidP="00CD368A">
            <w:pPr>
              <w:tabs>
                <w:tab w:val="left" w:pos="567"/>
              </w:tabs>
              <w:jc w:val="right"/>
              <w:rPr>
                <w:szCs w:val="26"/>
              </w:rPr>
            </w:pPr>
            <w:r w:rsidRPr="00D93BA2">
              <w:rPr>
                <w:szCs w:val="26"/>
              </w:rPr>
              <w:t>2</w:t>
            </w:r>
          </w:p>
        </w:tc>
        <w:tc>
          <w:tcPr>
            <w:tcW w:w="1148" w:type="dxa"/>
          </w:tcPr>
          <w:p w:rsidR="0033661A" w:rsidRPr="00D93BA2" w:rsidRDefault="0033661A" w:rsidP="00CD368A">
            <w:pPr>
              <w:tabs>
                <w:tab w:val="left" w:pos="567"/>
              </w:tabs>
              <w:jc w:val="right"/>
              <w:rPr>
                <w:szCs w:val="26"/>
              </w:rPr>
            </w:pPr>
            <w:r w:rsidRPr="00D93BA2">
              <w:rPr>
                <w:szCs w:val="26"/>
              </w:rPr>
              <w:t>1</w:t>
            </w:r>
          </w:p>
        </w:tc>
        <w:tc>
          <w:tcPr>
            <w:tcW w:w="2112" w:type="dxa"/>
          </w:tcPr>
          <w:p w:rsidR="0033661A" w:rsidRPr="00D93BA2" w:rsidRDefault="0033661A" w:rsidP="0033661A">
            <w:pPr>
              <w:tabs>
                <w:tab w:val="left" w:pos="567"/>
              </w:tabs>
              <w:jc w:val="center"/>
              <w:rPr>
                <w:szCs w:val="26"/>
              </w:rPr>
            </w:pPr>
            <w:r w:rsidRPr="00D93BA2">
              <w:rPr>
                <w:szCs w:val="26"/>
              </w:rPr>
              <w:t xml:space="preserve">Mua CP </w:t>
            </w:r>
            <w:r w:rsidRPr="00D93BA2">
              <w:rPr>
                <w:i/>
                <w:szCs w:val="26"/>
              </w:rPr>
              <w:t>(tỷ lệ quyền biểu quyết 9</w:t>
            </w:r>
            <w:proofErr w:type="gramStart"/>
            <w:r w:rsidRPr="00D93BA2">
              <w:rPr>
                <w:i/>
                <w:szCs w:val="26"/>
              </w:rPr>
              <w:t>,98</w:t>
            </w:r>
            <w:proofErr w:type="gramEnd"/>
            <w:r w:rsidRPr="00D93BA2">
              <w:rPr>
                <w:i/>
                <w:szCs w:val="26"/>
              </w:rPr>
              <w:t xml:space="preserve"> %)</w:t>
            </w:r>
          </w:p>
        </w:tc>
        <w:tc>
          <w:tcPr>
            <w:tcW w:w="2410" w:type="dxa"/>
          </w:tcPr>
          <w:p w:rsidR="0033661A" w:rsidRPr="00D93BA2" w:rsidRDefault="0033661A" w:rsidP="00CD368A">
            <w:pPr>
              <w:tabs>
                <w:tab w:val="left" w:pos="567"/>
              </w:tabs>
              <w:jc w:val="both"/>
              <w:rPr>
                <w:szCs w:val="26"/>
              </w:rPr>
            </w:pPr>
            <w:r w:rsidRPr="00D93BA2">
              <w:rPr>
                <w:szCs w:val="26"/>
              </w:rPr>
              <w:t>Chế biến, bảo quản thủy sản, và các SP từ thủy sản</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6</w:t>
            </w:r>
          </w:p>
        </w:tc>
        <w:tc>
          <w:tcPr>
            <w:tcW w:w="2664" w:type="dxa"/>
          </w:tcPr>
          <w:p w:rsidR="0033661A" w:rsidRPr="00D93BA2" w:rsidRDefault="0033661A" w:rsidP="00CD368A">
            <w:pPr>
              <w:tabs>
                <w:tab w:val="left" w:pos="567"/>
              </w:tabs>
              <w:jc w:val="both"/>
              <w:rPr>
                <w:spacing w:val="-6"/>
                <w:szCs w:val="26"/>
              </w:rPr>
            </w:pPr>
            <w:r w:rsidRPr="00D93BA2">
              <w:rPr>
                <w:spacing w:val="-6"/>
                <w:szCs w:val="26"/>
              </w:rPr>
              <w:t>Công ty CP kinh doanh Tổng hợp Việt Lào (Tại thời điểm đầu tư do ông Nguyễn Tất Lạc là giám đốc Công ty)</w:t>
            </w:r>
          </w:p>
        </w:tc>
        <w:tc>
          <w:tcPr>
            <w:tcW w:w="1134" w:type="dxa"/>
          </w:tcPr>
          <w:p w:rsidR="0033661A" w:rsidRPr="00D93BA2" w:rsidRDefault="0033661A" w:rsidP="00CD368A">
            <w:pPr>
              <w:tabs>
                <w:tab w:val="left" w:pos="567"/>
              </w:tabs>
              <w:jc w:val="right"/>
              <w:rPr>
                <w:szCs w:val="26"/>
              </w:rPr>
            </w:pPr>
            <w:r w:rsidRPr="00D93BA2">
              <w:rPr>
                <w:szCs w:val="26"/>
              </w:rPr>
              <w:t>4,2</w:t>
            </w:r>
          </w:p>
        </w:tc>
        <w:tc>
          <w:tcPr>
            <w:tcW w:w="1148" w:type="dxa"/>
          </w:tcPr>
          <w:p w:rsidR="0033661A" w:rsidRPr="00D93BA2" w:rsidRDefault="0033661A" w:rsidP="00CD368A">
            <w:pPr>
              <w:tabs>
                <w:tab w:val="left" w:pos="567"/>
              </w:tabs>
              <w:jc w:val="right"/>
              <w:rPr>
                <w:szCs w:val="26"/>
              </w:rPr>
            </w:pPr>
            <w:r w:rsidRPr="00D93BA2">
              <w:rPr>
                <w:szCs w:val="26"/>
              </w:rPr>
              <w:t>4</w:t>
            </w:r>
          </w:p>
        </w:tc>
        <w:tc>
          <w:tcPr>
            <w:tcW w:w="2112" w:type="dxa"/>
          </w:tcPr>
          <w:p w:rsidR="0033661A" w:rsidRPr="00D93BA2" w:rsidRDefault="0033661A" w:rsidP="0033661A">
            <w:pPr>
              <w:tabs>
                <w:tab w:val="left" w:pos="567"/>
              </w:tabs>
              <w:jc w:val="center"/>
              <w:rPr>
                <w:szCs w:val="26"/>
              </w:rPr>
            </w:pPr>
            <w:r w:rsidRPr="00D93BA2">
              <w:rPr>
                <w:szCs w:val="26"/>
              </w:rPr>
              <w:t xml:space="preserve">Mua CP </w:t>
            </w:r>
            <w:r w:rsidRPr="00D93BA2">
              <w:rPr>
                <w:i/>
                <w:szCs w:val="26"/>
              </w:rPr>
              <w:t>(tỷ lệ quyền biểu quyết 19</w:t>
            </w:r>
            <w:proofErr w:type="gramStart"/>
            <w:r w:rsidRPr="00D93BA2">
              <w:rPr>
                <w:i/>
                <w:szCs w:val="26"/>
              </w:rPr>
              <w:t>,05</w:t>
            </w:r>
            <w:proofErr w:type="gramEnd"/>
            <w:r w:rsidRPr="00D93BA2">
              <w:rPr>
                <w:i/>
                <w:szCs w:val="26"/>
              </w:rPr>
              <w:t xml:space="preserve"> %)</w:t>
            </w:r>
          </w:p>
        </w:tc>
        <w:tc>
          <w:tcPr>
            <w:tcW w:w="2410" w:type="dxa"/>
          </w:tcPr>
          <w:p w:rsidR="0033661A" w:rsidRPr="00D93BA2" w:rsidRDefault="0033661A" w:rsidP="00CD368A">
            <w:pPr>
              <w:tabs>
                <w:tab w:val="left" w:pos="567"/>
              </w:tabs>
              <w:jc w:val="both"/>
              <w:rPr>
                <w:szCs w:val="26"/>
              </w:rPr>
            </w:pPr>
            <w:r w:rsidRPr="00D93BA2">
              <w:rPr>
                <w:szCs w:val="26"/>
              </w:rPr>
              <w:t>XD các công trình dân dụng, công nghiệp, giao thông, thủy lợi</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w:t>
            </w:r>
          </w:p>
        </w:tc>
        <w:tc>
          <w:tcPr>
            <w:tcW w:w="2664" w:type="dxa"/>
          </w:tcPr>
          <w:p w:rsidR="0033661A" w:rsidRPr="00D93BA2" w:rsidRDefault="00526045" w:rsidP="00CD368A">
            <w:pPr>
              <w:tabs>
                <w:tab w:val="left" w:pos="567"/>
              </w:tabs>
              <w:jc w:val="both"/>
              <w:rPr>
                <w:szCs w:val="26"/>
              </w:rPr>
            </w:pPr>
            <w:r w:rsidRPr="00D93BA2">
              <w:rPr>
                <w:spacing w:val="-6"/>
                <w:szCs w:val="26"/>
              </w:rPr>
              <w:t>Công ty CP kinh doanh Tổng hợp Việt Lào</w:t>
            </w:r>
          </w:p>
        </w:tc>
        <w:tc>
          <w:tcPr>
            <w:tcW w:w="1134" w:type="dxa"/>
          </w:tcPr>
          <w:p w:rsidR="0033661A" w:rsidRPr="00D93BA2" w:rsidRDefault="0033661A" w:rsidP="00CD368A">
            <w:pPr>
              <w:tabs>
                <w:tab w:val="left" w:pos="567"/>
              </w:tabs>
              <w:jc w:val="right"/>
              <w:rPr>
                <w:szCs w:val="26"/>
              </w:rPr>
            </w:pPr>
            <w:r w:rsidRPr="00D93BA2">
              <w:rPr>
                <w:szCs w:val="26"/>
              </w:rPr>
              <w:t>61</w:t>
            </w:r>
          </w:p>
        </w:tc>
        <w:tc>
          <w:tcPr>
            <w:tcW w:w="1148" w:type="dxa"/>
          </w:tcPr>
          <w:p w:rsidR="0033661A" w:rsidRPr="00D93BA2" w:rsidRDefault="0033661A" w:rsidP="00CD368A">
            <w:pPr>
              <w:tabs>
                <w:tab w:val="left" w:pos="567"/>
              </w:tabs>
              <w:jc w:val="center"/>
              <w:rPr>
                <w:szCs w:val="26"/>
              </w:rPr>
            </w:pPr>
          </w:p>
        </w:tc>
        <w:tc>
          <w:tcPr>
            <w:tcW w:w="2112" w:type="dxa"/>
          </w:tcPr>
          <w:p w:rsidR="0033661A" w:rsidRPr="00D93BA2" w:rsidRDefault="0033661A" w:rsidP="0033661A">
            <w:pPr>
              <w:tabs>
                <w:tab w:val="left" w:pos="567"/>
              </w:tabs>
              <w:jc w:val="center"/>
              <w:rPr>
                <w:szCs w:val="26"/>
              </w:rPr>
            </w:pPr>
            <w:r w:rsidRPr="00D93BA2">
              <w:rPr>
                <w:szCs w:val="26"/>
              </w:rPr>
              <w:t>Cho vay</w:t>
            </w:r>
          </w:p>
        </w:tc>
        <w:tc>
          <w:tcPr>
            <w:tcW w:w="2410" w:type="dxa"/>
          </w:tcPr>
          <w:p w:rsidR="0033661A" w:rsidRPr="00D93BA2" w:rsidRDefault="0033661A" w:rsidP="00CD368A">
            <w:pPr>
              <w:tabs>
                <w:tab w:val="left" w:pos="567"/>
              </w:tabs>
              <w:jc w:val="both"/>
              <w:rPr>
                <w:bCs/>
                <w:szCs w:val="26"/>
              </w:rPr>
            </w:pPr>
            <w:r w:rsidRPr="00D93BA2">
              <w:rPr>
                <w:bCs/>
                <w:szCs w:val="26"/>
              </w:rPr>
              <w:t xml:space="preserve">Gốc vay: 55 tỷ; </w:t>
            </w:r>
          </w:p>
          <w:p w:rsidR="0033661A" w:rsidRPr="00D93BA2" w:rsidRDefault="0033661A" w:rsidP="00CD368A">
            <w:pPr>
              <w:tabs>
                <w:tab w:val="left" w:pos="567"/>
              </w:tabs>
              <w:jc w:val="both"/>
              <w:rPr>
                <w:szCs w:val="26"/>
              </w:rPr>
            </w:pPr>
            <w:r w:rsidRPr="00D93BA2">
              <w:rPr>
                <w:bCs/>
                <w:szCs w:val="26"/>
              </w:rPr>
              <w:t>Lãi vay: 6 tỷ</w:t>
            </w:r>
          </w:p>
        </w:tc>
      </w:tr>
      <w:tr w:rsidR="0033661A" w:rsidRPr="00D93BA2" w:rsidTr="0033661A">
        <w:tc>
          <w:tcPr>
            <w:tcW w:w="563" w:type="dxa"/>
          </w:tcPr>
          <w:p w:rsidR="0033661A" w:rsidRPr="00D93BA2" w:rsidRDefault="0033661A" w:rsidP="00CD368A">
            <w:pPr>
              <w:tabs>
                <w:tab w:val="left" w:pos="567"/>
              </w:tabs>
              <w:jc w:val="center"/>
              <w:rPr>
                <w:spacing w:val="-6"/>
                <w:szCs w:val="26"/>
              </w:rPr>
            </w:pPr>
            <w:r w:rsidRPr="00D93BA2">
              <w:rPr>
                <w:spacing w:val="-6"/>
                <w:szCs w:val="26"/>
              </w:rPr>
              <w:t>*</w:t>
            </w:r>
          </w:p>
        </w:tc>
        <w:tc>
          <w:tcPr>
            <w:tcW w:w="2664" w:type="dxa"/>
          </w:tcPr>
          <w:p w:rsidR="0033661A" w:rsidRPr="00D93BA2" w:rsidRDefault="0033661A" w:rsidP="00CD368A">
            <w:pPr>
              <w:tabs>
                <w:tab w:val="left" w:pos="567"/>
              </w:tabs>
              <w:jc w:val="both"/>
              <w:rPr>
                <w:spacing w:val="-20"/>
                <w:szCs w:val="26"/>
              </w:rPr>
            </w:pPr>
            <w:r w:rsidRPr="00D93BA2">
              <w:rPr>
                <w:spacing w:val="-20"/>
                <w:szCs w:val="26"/>
              </w:rPr>
              <w:t>Mua Cổ phần của ông Nguyễn Tất Lạc tại Công ty TNHH Chackkaphanh (Nay là Công ty TNHH Huatangnin) Mining Group</w:t>
            </w:r>
          </w:p>
        </w:tc>
        <w:tc>
          <w:tcPr>
            <w:tcW w:w="1134" w:type="dxa"/>
          </w:tcPr>
          <w:p w:rsidR="0033661A" w:rsidRPr="00D93BA2" w:rsidRDefault="0033661A" w:rsidP="00CD368A">
            <w:pPr>
              <w:tabs>
                <w:tab w:val="left" w:pos="567"/>
              </w:tabs>
              <w:jc w:val="right"/>
              <w:rPr>
                <w:szCs w:val="26"/>
              </w:rPr>
            </w:pPr>
            <w:r w:rsidRPr="00D93BA2">
              <w:rPr>
                <w:szCs w:val="26"/>
              </w:rPr>
              <w:t>77</w:t>
            </w:r>
          </w:p>
        </w:tc>
        <w:tc>
          <w:tcPr>
            <w:tcW w:w="1148" w:type="dxa"/>
          </w:tcPr>
          <w:p w:rsidR="0033661A" w:rsidRPr="00D93BA2" w:rsidRDefault="0033661A" w:rsidP="00CD368A">
            <w:pPr>
              <w:tabs>
                <w:tab w:val="left" w:pos="567"/>
              </w:tabs>
              <w:jc w:val="center"/>
              <w:rPr>
                <w:szCs w:val="26"/>
              </w:rPr>
            </w:pPr>
          </w:p>
        </w:tc>
        <w:tc>
          <w:tcPr>
            <w:tcW w:w="2112" w:type="dxa"/>
          </w:tcPr>
          <w:p w:rsidR="0033661A" w:rsidRPr="00D93BA2" w:rsidRDefault="0033661A" w:rsidP="0033661A">
            <w:pPr>
              <w:tabs>
                <w:tab w:val="left" w:pos="567"/>
              </w:tabs>
              <w:jc w:val="center"/>
              <w:rPr>
                <w:szCs w:val="26"/>
              </w:rPr>
            </w:pPr>
            <w:r w:rsidRPr="00D93BA2">
              <w:rPr>
                <w:szCs w:val="26"/>
              </w:rPr>
              <w:t>Mua CP</w:t>
            </w:r>
          </w:p>
        </w:tc>
        <w:tc>
          <w:tcPr>
            <w:tcW w:w="2410" w:type="dxa"/>
          </w:tcPr>
          <w:p w:rsidR="0033661A" w:rsidRPr="00D93BA2" w:rsidRDefault="0033661A" w:rsidP="00CD368A">
            <w:pPr>
              <w:tabs>
                <w:tab w:val="left" w:pos="567"/>
              </w:tabs>
              <w:jc w:val="both"/>
              <w:rPr>
                <w:szCs w:val="26"/>
              </w:rPr>
            </w:pPr>
            <w:r w:rsidRPr="00D93BA2">
              <w:rPr>
                <w:bCs/>
                <w:szCs w:val="26"/>
              </w:rPr>
              <w:t>Khai thác, chế biến khoáng sản quặng đồng…</w:t>
            </w:r>
          </w:p>
        </w:tc>
      </w:tr>
      <w:tr w:rsidR="0033661A" w:rsidRPr="00D93BA2" w:rsidTr="0033661A">
        <w:tc>
          <w:tcPr>
            <w:tcW w:w="563" w:type="dxa"/>
          </w:tcPr>
          <w:p w:rsidR="0033661A" w:rsidRPr="00D93BA2" w:rsidRDefault="0033661A" w:rsidP="00CD368A">
            <w:pPr>
              <w:tabs>
                <w:tab w:val="left" w:pos="567"/>
              </w:tabs>
              <w:jc w:val="center"/>
              <w:rPr>
                <w:szCs w:val="26"/>
              </w:rPr>
            </w:pPr>
            <w:r w:rsidRPr="00D93BA2">
              <w:rPr>
                <w:szCs w:val="26"/>
              </w:rPr>
              <w:t>*</w:t>
            </w:r>
          </w:p>
        </w:tc>
        <w:tc>
          <w:tcPr>
            <w:tcW w:w="2664" w:type="dxa"/>
          </w:tcPr>
          <w:p w:rsidR="0033661A" w:rsidRPr="00D93BA2" w:rsidRDefault="0033661A" w:rsidP="00CD368A">
            <w:pPr>
              <w:tabs>
                <w:tab w:val="left" w:pos="567"/>
              </w:tabs>
              <w:jc w:val="both"/>
              <w:rPr>
                <w:szCs w:val="26"/>
              </w:rPr>
            </w:pPr>
            <w:r w:rsidRPr="00D93BA2">
              <w:rPr>
                <w:szCs w:val="26"/>
              </w:rPr>
              <w:t>Công ty TNHH Phong Thịnh</w:t>
            </w:r>
          </w:p>
        </w:tc>
        <w:tc>
          <w:tcPr>
            <w:tcW w:w="1134" w:type="dxa"/>
          </w:tcPr>
          <w:p w:rsidR="0033661A" w:rsidRPr="00D93BA2" w:rsidRDefault="0033661A" w:rsidP="00CD368A">
            <w:pPr>
              <w:tabs>
                <w:tab w:val="left" w:pos="567"/>
              </w:tabs>
              <w:jc w:val="right"/>
              <w:rPr>
                <w:szCs w:val="26"/>
              </w:rPr>
            </w:pPr>
            <w:r w:rsidRPr="00D93BA2">
              <w:rPr>
                <w:szCs w:val="26"/>
              </w:rPr>
              <w:t>11,3</w:t>
            </w:r>
          </w:p>
        </w:tc>
        <w:tc>
          <w:tcPr>
            <w:tcW w:w="1148" w:type="dxa"/>
          </w:tcPr>
          <w:p w:rsidR="0033661A" w:rsidRPr="00D93BA2" w:rsidRDefault="0033661A" w:rsidP="00CD368A">
            <w:pPr>
              <w:tabs>
                <w:tab w:val="left" w:pos="567"/>
              </w:tabs>
              <w:jc w:val="right"/>
              <w:rPr>
                <w:szCs w:val="26"/>
              </w:rPr>
            </w:pPr>
          </w:p>
        </w:tc>
        <w:tc>
          <w:tcPr>
            <w:tcW w:w="2112" w:type="dxa"/>
          </w:tcPr>
          <w:p w:rsidR="0033661A" w:rsidRPr="00D93BA2" w:rsidRDefault="0033661A" w:rsidP="0033661A">
            <w:pPr>
              <w:tabs>
                <w:tab w:val="left" w:pos="567"/>
              </w:tabs>
              <w:jc w:val="center"/>
              <w:rPr>
                <w:szCs w:val="26"/>
              </w:rPr>
            </w:pPr>
            <w:r w:rsidRPr="00D93BA2">
              <w:rPr>
                <w:szCs w:val="26"/>
              </w:rPr>
              <w:t xml:space="preserve">Giao dịch </w:t>
            </w:r>
          </w:p>
          <w:p w:rsidR="0033661A" w:rsidRPr="00D93BA2" w:rsidRDefault="0033661A" w:rsidP="0033661A">
            <w:pPr>
              <w:tabs>
                <w:tab w:val="left" w:pos="567"/>
              </w:tabs>
              <w:jc w:val="center"/>
              <w:rPr>
                <w:szCs w:val="26"/>
              </w:rPr>
            </w:pPr>
            <w:r w:rsidRPr="00D93BA2">
              <w:rPr>
                <w:szCs w:val="26"/>
              </w:rPr>
              <w:t>thương mại</w:t>
            </w:r>
          </w:p>
        </w:tc>
        <w:tc>
          <w:tcPr>
            <w:tcW w:w="2410" w:type="dxa"/>
          </w:tcPr>
          <w:p w:rsidR="0033661A" w:rsidRPr="00D93BA2" w:rsidRDefault="0033661A" w:rsidP="00CD368A">
            <w:pPr>
              <w:tabs>
                <w:tab w:val="left" w:pos="567"/>
              </w:tabs>
              <w:jc w:val="both"/>
              <w:rPr>
                <w:szCs w:val="26"/>
              </w:rPr>
            </w:pPr>
            <w:r w:rsidRPr="00D93BA2">
              <w:rPr>
                <w:szCs w:val="26"/>
              </w:rPr>
              <w:t>Chuyển tiền mua dây truyền tuyển nổi quặng đồng</w:t>
            </w:r>
          </w:p>
        </w:tc>
      </w:tr>
    </w:tbl>
    <w:p w:rsidR="00D106F7" w:rsidRPr="00D93BA2" w:rsidRDefault="00A67DAF" w:rsidP="00EF7151">
      <w:pPr>
        <w:pStyle w:val="ListParagraph"/>
        <w:numPr>
          <w:ilvl w:val="0"/>
          <w:numId w:val="15"/>
        </w:numPr>
        <w:spacing w:before="120" w:after="120" w:line="350" w:lineRule="atLeast"/>
        <w:ind w:left="714" w:hanging="357"/>
        <w:jc w:val="both"/>
        <w:rPr>
          <w:spacing w:val="-2"/>
          <w:sz w:val="26"/>
          <w:szCs w:val="26"/>
        </w:rPr>
      </w:pPr>
      <w:r w:rsidRPr="00D93BA2">
        <w:rPr>
          <w:spacing w:val="-2"/>
          <w:sz w:val="26"/>
          <w:szCs w:val="26"/>
        </w:rPr>
        <w:t>Côn</w:t>
      </w:r>
      <w:r w:rsidR="00505B8A" w:rsidRPr="00D93BA2">
        <w:rPr>
          <w:spacing w:val="-2"/>
          <w:sz w:val="26"/>
          <w:szCs w:val="26"/>
        </w:rPr>
        <w:t xml:space="preserve">g ty CP Tứ Hiệp Hồng Hà Dầu khí, với hoạt động kinh doanh chính là đầu tư kinh doanh bất động sản, </w:t>
      </w:r>
      <w:r w:rsidRPr="00D93BA2">
        <w:rPr>
          <w:spacing w:val="-2"/>
          <w:sz w:val="26"/>
          <w:szCs w:val="26"/>
        </w:rPr>
        <w:t>đã bắt đầu có lợi nhuận từ năm 2015 (Hoàn thành bàn giao đưa vào sử dụng 5 tòa nhà ở xã hội: CT15-16, CT4-5-6). Riêng năm 2019, đạt lợi nhuận trước thuế: 26</w:t>
      </w:r>
      <w:proofErr w:type="gramStart"/>
      <w:r w:rsidRPr="00D93BA2">
        <w:rPr>
          <w:spacing w:val="-2"/>
          <w:sz w:val="26"/>
          <w:szCs w:val="26"/>
        </w:rPr>
        <w:t>,8</w:t>
      </w:r>
      <w:proofErr w:type="gramEnd"/>
      <w:r w:rsidRPr="00D93BA2">
        <w:rPr>
          <w:spacing w:val="-2"/>
          <w:sz w:val="26"/>
          <w:szCs w:val="26"/>
        </w:rPr>
        <w:t xml:space="preserve"> tỷ (Hoàn thành, bàn giao đưa vào sử dụng 02 tòa nhà chung cư thương mại thuộc Dự án nhà ở kinh doanh giai đoạn 1: CT13, CT12). Hiện tại Công ty đang khẩn trương hoàn thiện để bàn giao đưa vào sử dụng 01 tòa nhà tiếp </w:t>
      </w:r>
      <w:proofErr w:type="gramStart"/>
      <w:r w:rsidRPr="00D93BA2">
        <w:rPr>
          <w:spacing w:val="-2"/>
          <w:sz w:val="26"/>
          <w:szCs w:val="26"/>
        </w:rPr>
        <w:t>theo</w:t>
      </w:r>
      <w:proofErr w:type="gramEnd"/>
      <w:r w:rsidRPr="00D93BA2">
        <w:rPr>
          <w:spacing w:val="-2"/>
          <w:sz w:val="26"/>
          <w:szCs w:val="26"/>
        </w:rPr>
        <w:t xml:space="preserve"> (CT11). Dự kiến nửa cuối năm 2020 sẽ khởi công xây dựng nốt 01 tòa nhà (CT14) thuộc dự án nhà ở KD giai đoạn 1</w:t>
      </w:r>
      <w:r w:rsidR="00EF7151" w:rsidRPr="00D93BA2">
        <w:rPr>
          <w:spacing w:val="-2"/>
          <w:sz w:val="26"/>
          <w:szCs w:val="26"/>
        </w:rPr>
        <w:t>. Các dự án khác (Nhà ở TM giai đoạn 2: CT7-8-9-10; Khu nhà ở tái định cư và cho thuê (hiện tại Công ty đang làm thủ tục xin chuyển</w:t>
      </w:r>
      <w:r w:rsidR="00961371">
        <w:rPr>
          <w:spacing w:val="-2"/>
          <w:sz w:val="26"/>
          <w:szCs w:val="26"/>
        </w:rPr>
        <w:t xml:space="preserve"> đổi</w:t>
      </w:r>
      <w:r w:rsidR="00EF7151" w:rsidRPr="00D93BA2">
        <w:rPr>
          <w:spacing w:val="-2"/>
          <w:sz w:val="26"/>
          <w:szCs w:val="26"/>
        </w:rPr>
        <w:t xml:space="preserve"> thành Nhà ở xã hội): CT1-2-3; Dự án Trung tâm thương mại – nhà để xe…) sẽ được thực hiện khi có đủ điều kiện pháp lý, hứa hẹn sẽ đem lại nguồn việc ổn định cho Công ty Mẹ và lợi ích cho các chủ sở hữu.</w:t>
      </w:r>
    </w:p>
    <w:p w:rsidR="00EF7151" w:rsidRPr="00D93BA2" w:rsidRDefault="00EF7151" w:rsidP="00EF7151">
      <w:pPr>
        <w:pStyle w:val="ListParagraph"/>
        <w:numPr>
          <w:ilvl w:val="0"/>
          <w:numId w:val="15"/>
        </w:numPr>
        <w:spacing w:after="120" w:line="350" w:lineRule="atLeast"/>
        <w:jc w:val="both"/>
        <w:rPr>
          <w:spacing w:val="-2"/>
          <w:sz w:val="26"/>
          <w:szCs w:val="26"/>
        </w:rPr>
      </w:pPr>
      <w:r w:rsidRPr="00D93BA2">
        <w:rPr>
          <w:spacing w:val="-2"/>
          <w:sz w:val="26"/>
          <w:szCs w:val="26"/>
        </w:rPr>
        <w:t xml:space="preserve">Ngoài ra, Công ty CP XNK Thủy Sản Quảng Ninh có nguồn việc rất ổn định. Hàng năm Công ty đều chia cổ tức với tỷ lệ từ </w:t>
      </w:r>
      <w:r w:rsidR="00505B8A" w:rsidRPr="00D93BA2">
        <w:rPr>
          <w:spacing w:val="-2"/>
          <w:sz w:val="26"/>
          <w:szCs w:val="26"/>
        </w:rPr>
        <w:t>8</w:t>
      </w:r>
      <w:r w:rsidRPr="00D93BA2">
        <w:rPr>
          <w:spacing w:val="-2"/>
          <w:sz w:val="26"/>
          <w:szCs w:val="26"/>
        </w:rPr>
        <w:t>-1</w:t>
      </w:r>
      <w:r w:rsidR="00505B8A" w:rsidRPr="00D93BA2">
        <w:rPr>
          <w:spacing w:val="-2"/>
          <w:sz w:val="26"/>
          <w:szCs w:val="26"/>
        </w:rPr>
        <w:t>5</w:t>
      </w:r>
      <w:r w:rsidRPr="00D93BA2">
        <w:rPr>
          <w:spacing w:val="-2"/>
          <w:sz w:val="26"/>
          <w:szCs w:val="26"/>
        </w:rPr>
        <w:t>%.</w:t>
      </w:r>
    </w:p>
    <w:p w:rsidR="00EF7151" w:rsidRPr="00D93BA2" w:rsidRDefault="00DF66E2" w:rsidP="00EF7151">
      <w:pPr>
        <w:pStyle w:val="ListParagraph"/>
        <w:numPr>
          <w:ilvl w:val="0"/>
          <w:numId w:val="15"/>
        </w:numPr>
        <w:spacing w:after="120" w:line="350" w:lineRule="atLeast"/>
        <w:jc w:val="both"/>
        <w:rPr>
          <w:spacing w:val="-2"/>
          <w:sz w:val="26"/>
          <w:szCs w:val="26"/>
        </w:rPr>
      </w:pPr>
      <w:r w:rsidRPr="00D93BA2">
        <w:rPr>
          <w:spacing w:val="-2"/>
          <w:sz w:val="26"/>
          <w:szCs w:val="26"/>
        </w:rPr>
        <w:t>Các Công ty còn lại đều đang ở tình trạng hoạt động cầm chừng: thu không đủ chi, nhiề</w:t>
      </w:r>
      <w:r w:rsidR="00EB1B8B" w:rsidRPr="00D93BA2">
        <w:rPr>
          <w:spacing w:val="-2"/>
          <w:sz w:val="26"/>
          <w:szCs w:val="26"/>
        </w:rPr>
        <w:t>u Công ty số lỗ bị</w:t>
      </w:r>
      <w:r w:rsidR="00CB1F0E" w:rsidRPr="00D93BA2">
        <w:rPr>
          <w:spacing w:val="-2"/>
          <w:sz w:val="26"/>
          <w:szCs w:val="26"/>
        </w:rPr>
        <w:t xml:space="preserve"> âm vào vốn, khiến Công ty phải trích lập dự phòng cho các khoản đầu tư này (Số trích lập dự phòng cho khoản đầu tư vào CP Sông Đáy Hồng Hà Dầu Khí bằng số </w:t>
      </w:r>
      <w:r w:rsidR="00CB1F0E" w:rsidRPr="00D93BA2">
        <w:rPr>
          <w:spacing w:val="-2"/>
          <w:sz w:val="26"/>
          <w:szCs w:val="26"/>
        </w:rPr>
        <w:lastRenderedPageBreak/>
        <w:t>vốn góp: 26</w:t>
      </w:r>
      <w:proofErr w:type="gramStart"/>
      <w:r w:rsidR="00CB1F0E" w:rsidRPr="00D93BA2">
        <w:rPr>
          <w:spacing w:val="-2"/>
          <w:sz w:val="26"/>
          <w:szCs w:val="26"/>
        </w:rPr>
        <w:t>,3</w:t>
      </w:r>
      <w:proofErr w:type="gramEnd"/>
      <w:r w:rsidR="00CB1F0E" w:rsidRPr="00D93BA2">
        <w:rPr>
          <w:spacing w:val="-2"/>
          <w:sz w:val="26"/>
          <w:szCs w:val="26"/>
        </w:rPr>
        <w:t xml:space="preserve"> tỷ; Công ty CP Các giải pháp nội thất: 1,9 tỷ). Đáng nói nhất là các hoạt động đầu tư liên quan đến </w:t>
      </w:r>
      <w:r w:rsidR="005003EA" w:rsidRPr="00D93BA2">
        <w:rPr>
          <w:spacing w:val="-2"/>
          <w:sz w:val="26"/>
          <w:szCs w:val="26"/>
        </w:rPr>
        <w:t>Công ty CP Tổng Hợp Việt Lào và các khoản đầu tư sang Lào</w:t>
      </w:r>
      <w:r w:rsidR="00E51FDA" w:rsidRPr="00D93BA2">
        <w:rPr>
          <w:spacing w:val="-2"/>
          <w:sz w:val="26"/>
          <w:szCs w:val="26"/>
        </w:rPr>
        <w:t xml:space="preserve"> </w:t>
      </w:r>
      <w:r w:rsidR="007C07B4" w:rsidRPr="00D93BA2">
        <w:rPr>
          <w:spacing w:val="-2"/>
          <w:sz w:val="26"/>
          <w:szCs w:val="26"/>
        </w:rPr>
        <w:t>qua ông Nguyễn Tất Lạc: chiếm số tiền gốc đầu tư, cho vay lên đến 143 tỷ</w:t>
      </w:r>
      <w:r w:rsidR="004F3420" w:rsidRPr="00D93BA2">
        <w:rPr>
          <w:spacing w:val="-2"/>
          <w:sz w:val="26"/>
          <w:szCs w:val="26"/>
        </w:rPr>
        <w:t>. Toàn bộ các khoản tiền liên quan đến việc đầu tư sang Lào này đều không thu thập được thông tin, báo cáo hoặc tín hiệu có thể thu hồi dẫn đến Công ty phải xác định là khoản tổn thất và xem xét trích lập dự phòng dần vào kết quả kinh doanh trên báo cáo tài chính các năm.</w:t>
      </w:r>
      <w:r w:rsidR="00EF7151" w:rsidRPr="00D93BA2">
        <w:rPr>
          <w:spacing w:val="-2"/>
          <w:sz w:val="26"/>
          <w:szCs w:val="26"/>
        </w:rPr>
        <w:tab/>
      </w:r>
    </w:p>
    <w:p w:rsidR="00DB4FC6" w:rsidRPr="00D93BA2" w:rsidRDefault="00DB4FC6" w:rsidP="00BD4EB4">
      <w:pPr>
        <w:spacing w:after="120" w:line="350" w:lineRule="atLeast"/>
        <w:ind w:left="714" w:hanging="354"/>
        <w:jc w:val="both"/>
        <w:rPr>
          <w:spacing w:val="-2"/>
          <w:sz w:val="26"/>
          <w:szCs w:val="26"/>
        </w:rPr>
      </w:pPr>
      <w:proofErr w:type="gramStart"/>
      <w:r w:rsidRPr="00D93BA2">
        <w:rPr>
          <w:b/>
          <w:sz w:val="26"/>
          <w:szCs w:val="26"/>
        </w:rPr>
        <w:t>*  Công</w:t>
      </w:r>
      <w:proofErr w:type="gramEnd"/>
      <w:r w:rsidRPr="00D93BA2">
        <w:rPr>
          <w:b/>
          <w:sz w:val="26"/>
          <w:szCs w:val="26"/>
        </w:rPr>
        <w:t xml:space="preserve"> tác tài chính – tín dụng:  </w:t>
      </w:r>
      <w:r w:rsidRPr="00D93BA2">
        <w:rPr>
          <w:sz w:val="26"/>
          <w:szCs w:val="26"/>
        </w:rPr>
        <w:t xml:space="preserve">Trong năm 2019, tiếp tục là một năm khó khăn về công tác tài chính và tín dụng trên toàn Công ty. Do hoạt động xây lắp bị </w:t>
      </w:r>
      <w:proofErr w:type="gramStart"/>
      <w:r w:rsidRPr="00D93BA2">
        <w:rPr>
          <w:sz w:val="26"/>
          <w:szCs w:val="26"/>
        </w:rPr>
        <w:t>thu</w:t>
      </w:r>
      <w:proofErr w:type="gramEnd"/>
      <w:r w:rsidRPr="00D93BA2">
        <w:rPr>
          <w:sz w:val="26"/>
          <w:szCs w:val="26"/>
        </w:rPr>
        <w:t xml:space="preserve"> hẹp, khối lượng nghiệm thu, thanh toán thấp so với sản lượng, lượng tiền thu được thấp, thiếu dòng tiền chảy về tài khoản nên không thỏa mãn một trong các điều kiện giải ngân tại các Ngân hàng còn hạn mức cho vay. </w:t>
      </w:r>
      <w:proofErr w:type="gramStart"/>
      <w:r w:rsidR="00BD4EB4" w:rsidRPr="00D93BA2">
        <w:rPr>
          <w:sz w:val="26"/>
          <w:szCs w:val="26"/>
        </w:rPr>
        <w:t>Thêm nữa, các khoản vay Ngân hàng lần lượt đến hạn trả khiến Ban lãnh đạo Công ty phải gồng gánh tìm nguồn để trả nợ cho các khế ước đến hạn của Ngân hàng.</w:t>
      </w:r>
      <w:proofErr w:type="gramEnd"/>
    </w:p>
    <w:p w:rsidR="00496C4C" w:rsidRPr="00D93BA2" w:rsidRDefault="0059345B" w:rsidP="0059345B">
      <w:pPr>
        <w:spacing w:after="120" w:line="350" w:lineRule="atLeast"/>
        <w:ind w:left="714" w:hanging="354"/>
        <w:jc w:val="both"/>
        <w:rPr>
          <w:b/>
          <w:sz w:val="26"/>
          <w:szCs w:val="26"/>
        </w:rPr>
      </w:pPr>
      <w:proofErr w:type="gramStart"/>
      <w:r w:rsidRPr="00D93BA2">
        <w:rPr>
          <w:b/>
          <w:sz w:val="26"/>
          <w:szCs w:val="26"/>
        </w:rPr>
        <w:t xml:space="preserve">*  </w:t>
      </w:r>
      <w:r w:rsidR="00496C4C" w:rsidRPr="00D93BA2">
        <w:rPr>
          <w:b/>
          <w:sz w:val="26"/>
          <w:szCs w:val="26"/>
        </w:rPr>
        <w:t>Công</w:t>
      </w:r>
      <w:proofErr w:type="gramEnd"/>
      <w:r w:rsidR="00496C4C" w:rsidRPr="00D93BA2">
        <w:rPr>
          <w:b/>
          <w:sz w:val="26"/>
          <w:szCs w:val="26"/>
        </w:rPr>
        <w:t xml:space="preserve"> tác tổ chức, nhân sự</w:t>
      </w:r>
      <w:r w:rsidR="0030484A" w:rsidRPr="00D93BA2">
        <w:rPr>
          <w:b/>
          <w:sz w:val="26"/>
          <w:szCs w:val="26"/>
        </w:rPr>
        <w:t xml:space="preserve"> và điều hành</w:t>
      </w:r>
      <w:r w:rsidR="00496C4C" w:rsidRPr="00D93BA2">
        <w:rPr>
          <w:b/>
          <w:sz w:val="26"/>
          <w:szCs w:val="26"/>
        </w:rPr>
        <w:t xml:space="preserve">: </w:t>
      </w:r>
    </w:p>
    <w:p w:rsidR="007539F9" w:rsidRPr="00D93BA2" w:rsidRDefault="007539F9" w:rsidP="000D59FA">
      <w:pPr>
        <w:pStyle w:val="ListParagraph"/>
        <w:numPr>
          <w:ilvl w:val="0"/>
          <w:numId w:val="15"/>
        </w:numPr>
        <w:spacing w:before="120" w:after="120" w:line="320" w:lineRule="atLeast"/>
        <w:jc w:val="both"/>
        <w:rPr>
          <w:sz w:val="26"/>
          <w:szCs w:val="26"/>
        </w:rPr>
      </w:pPr>
      <w:r w:rsidRPr="00D93BA2">
        <w:rPr>
          <w:sz w:val="26"/>
          <w:szCs w:val="26"/>
        </w:rPr>
        <w:t>Trong năm 201</w:t>
      </w:r>
      <w:r w:rsidR="00B22E13" w:rsidRPr="00D93BA2">
        <w:rPr>
          <w:sz w:val="26"/>
          <w:szCs w:val="26"/>
        </w:rPr>
        <w:t>9</w:t>
      </w:r>
      <w:r w:rsidRPr="00D93BA2">
        <w:rPr>
          <w:sz w:val="26"/>
          <w:szCs w:val="26"/>
        </w:rPr>
        <w:t>, nhân sự của Công ty có nhiều biến động trong HĐQT cũng như Ban Tổng giám đốc Công ty, cụ thể:</w:t>
      </w:r>
    </w:p>
    <w:p w:rsidR="00B22E13" w:rsidRPr="00D93BA2" w:rsidRDefault="00441AC2" w:rsidP="00B22E13">
      <w:pPr>
        <w:pStyle w:val="ListParagraph"/>
        <w:numPr>
          <w:ilvl w:val="0"/>
          <w:numId w:val="26"/>
        </w:numPr>
        <w:spacing w:before="120" w:after="120" w:line="350" w:lineRule="atLeast"/>
        <w:ind w:left="1560" w:hanging="426"/>
        <w:jc w:val="both"/>
        <w:rPr>
          <w:sz w:val="26"/>
          <w:szCs w:val="28"/>
        </w:rPr>
      </w:pPr>
      <w:r w:rsidRPr="00D93BA2">
        <w:rPr>
          <w:sz w:val="26"/>
          <w:szCs w:val="28"/>
        </w:rPr>
        <w:t xml:space="preserve">Trong năm, </w:t>
      </w:r>
      <w:r w:rsidR="00B22E13" w:rsidRPr="00D93BA2">
        <w:rPr>
          <w:sz w:val="26"/>
          <w:szCs w:val="28"/>
        </w:rPr>
        <w:t xml:space="preserve">HĐQT </w:t>
      </w:r>
      <w:r w:rsidRPr="00D93BA2">
        <w:rPr>
          <w:sz w:val="26"/>
          <w:szCs w:val="28"/>
        </w:rPr>
        <w:t xml:space="preserve">lần lượt </w:t>
      </w:r>
      <w:r w:rsidR="00B22E13" w:rsidRPr="00D93BA2">
        <w:rPr>
          <w:sz w:val="26"/>
          <w:szCs w:val="28"/>
        </w:rPr>
        <w:t xml:space="preserve">chấp thuận đơn xin từ nhiệm </w:t>
      </w:r>
      <w:r w:rsidRPr="00D93BA2">
        <w:rPr>
          <w:sz w:val="26"/>
          <w:szCs w:val="28"/>
        </w:rPr>
        <w:t>chức vụ Phó Tổng Giám đốc của ông Nguyễn Hồng Sơn, ông Nguyễn Chí Việt và ông Phạm Vinh Hiển.</w:t>
      </w:r>
    </w:p>
    <w:p w:rsidR="00F210D4" w:rsidRPr="00D93BA2" w:rsidRDefault="00441AC2" w:rsidP="00B22E13">
      <w:pPr>
        <w:pStyle w:val="ListParagraph"/>
        <w:numPr>
          <w:ilvl w:val="0"/>
          <w:numId w:val="26"/>
        </w:numPr>
        <w:spacing w:before="120" w:after="120" w:line="350" w:lineRule="atLeast"/>
        <w:ind w:left="1560" w:hanging="426"/>
        <w:jc w:val="both"/>
        <w:rPr>
          <w:sz w:val="26"/>
          <w:szCs w:val="28"/>
        </w:rPr>
      </w:pPr>
      <w:r w:rsidRPr="00D93BA2">
        <w:rPr>
          <w:sz w:val="26"/>
          <w:szCs w:val="28"/>
        </w:rPr>
        <w:t>Về chức vụ Tổng Giám đốc</w:t>
      </w:r>
      <w:r w:rsidR="00F210D4" w:rsidRPr="00D93BA2">
        <w:rPr>
          <w:sz w:val="26"/>
          <w:szCs w:val="28"/>
        </w:rPr>
        <w:t xml:space="preserve"> và </w:t>
      </w:r>
      <w:r w:rsidR="00EC465F" w:rsidRPr="00D93BA2">
        <w:rPr>
          <w:sz w:val="26"/>
          <w:szCs w:val="28"/>
        </w:rPr>
        <w:t>thành viên</w:t>
      </w:r>
      <w:r w:rsidR="00F210D4" w:rsidRPr="00D93BA2">
        <w:rPr>
          <w:sz w:val="26"/>
          <w:szCs w:val="28"/>
        </w:rPr>
        <w:t xml:space="preserve"> Hội đồng Quản trị</w:t>
      </w:r>
      <w:r w:rsidRPr="00D93BA2">
        <w:rPr>
          <w:sz w:val="26"/>
          <w:szCs w:val="28"/>
        </w:rPr>
        <w:t xml:space="preserve"> Công ty: </w:t>
      </w:r>
    </w:p>
    <w:p w:rsidR="00F210D4" w:rsidRPr="00D93BA2" w:rsidRDefault="00F210D4" w:rsidP="00F210D4">
      <w:pPr>
        <w:pStyle w:val="ListParagraph"/>
        <w:spacing w:before="120" w:after="120" w:line="350" w:lineRule="atLeast"/>
        <w:ind w:left="1560"/>
        <w:jc w:val="both"/>
        <w:rPr>
          <w:sz w:val="26"/>
          <w:szCs w:val="28"/>
        </w:rPr>
      </w:pPr>
      <w:r w:rsidRPr="00D93BA2">
        <w:rPr>
          <w:sz w:val="26"/>
          <w:szCs w:val="28"/>
        </w:rPr>
        <w:sym w:font="Wingdings" w:char="F0E0"/>
      </w:r>
      <w:r w:rsidRPr="00D93BA2">
        <w:rPr>
          <w:sz w:val="26"/>
          <w:szCs w:val="28"/>
        </w:rPr>
        <w:t xml:space="preserve"> Ngày 15/01/2019, ông Lê Hoàng Anh có đơn từ nhiệm chức danh Tổng Giám đốc và đã được HĐQT thông qua</w:t>
      </w:r>
      <w:r w:rsidR="00EC465F" w:rsidRPr="00D93BA2">
        <w:rPr>
          <w:sz w:val="26"/>
          <w:szCs w:val="28"/>
        </w:rPr>
        <w:t xml:space="preserve">. </w:t>
      </w:r>
      <w:r w:rsidRPr="00D93BA2">
        <w:rPr>
          <w:sz w:val="26"/>
          <w:szCs w:val="28"/>
        </w:rPr>
        <w:t>Từ 15/01/2019 đến trước 01/7/2019, chức danh Tổng Giám đốc Công ty do ông Hoàng Quốc Huy đảm nhận. (Từ 01/7/2019 đến nay, ông Hoàng Quốc Huy đảm nhận chức vụ Phó Tổng Giám đốc Công ty)</w:t>
      </w:r>
    </w:p>
    <w:p w:rsidR="00EC465F" w:rsidRPr="00D93BA2" w:rsidRDefault="00EC465F" w:rsidP="00EC465F">
      <w:pPr>
        <w:pStyle w:val="ListParagraph"/>
        <w:spacing w:before="120" w:after="120" w:line="350" w:lineRule="atLeast"/>
        <w:ind w:left="1560"/>
        <w:jc w:val="both"/>
        <w:rPr>
          <w:sz w:val="26"/>
          <w:szCs w:val="28"/>
        </w:rPr>
      </w:pPr>
      <w:r w:rsidRPr="00D93BA2">
        <w:rPr>
          <w:sz w:val="26"/>
          <w:szCs w:val="28"/>
        </w:rPr>
        <w:sym w:font="Wingdings" w:char="F0E0"/>
      </w:r>
      <w:r w:rsidRPr="00D93BA2">
        <w:rPr>
          <w:sz w:val="26"/>
          <w:szCs w:val="28"/>
        </w:rPr>
        <w:t xml:space="preserve"> Ngày 17/5/2019, tại Đại hội cổ đông thường niên năm 2019 Đại hội đồng cổ đông đã chấp thuận việc bổ sung thành viên HĐQT (nhiệm kỳ 2015 2020) từ 5 lên 7 thành viên, Ông L</w:t>
      </w:r>
      <w:r w:rsidR="00015578">
        <w:rPr>
          <w:sz w:val="26"/>
          <w:szCs w:val="28"/>
        </w:rPr>
        <w:t>ê Vinh Việt và Bà Nguyễn Thị Huyền</w:t>
      </w:r>
      <w:r w:rsidRPr="00D93BA2">
        <w:rPr>
          <w:sz w:val="26"/>
          <w:szCs w:val="28"/>
        </w:rPr>
        <w:t xml:space="preserve"> Trang đã trúng cử thành viên HĐQT bổ sung theo phương thức bầu dồn phiếu. </w:t>
      </w:r>
    </w:p>
    <w:p w:rsidR="00F210D4" w:rsidRPr="00D93BA2" w:rsidRDefault="00F210D4" w:rsidP="00F210D4">
      <w:pPr>
        <w:pStyle w:val="ListParagraph"/>
        <w:spacing w:before="120" w:after="120" w:line="350" w:lineRule="atLeast"/>
        <w:ind w:left="1560"/>
        <w:jc w:val="both"/>
        <w:rPr>
          <w:sz w:val="26"/>
          <w:szCs w:val="28"/>
        </w:rPr>
      </w:pPr>
      <w:r w:rsidRPr="00D93BA2">
        <w:rPr>
          <w:sz w:val="26"/>
          <w:szCs w:val="28"/>
        </w:rPr>
        <w:sym w:font="Wingdings" w:char="F0E0"/>
      </w:r>
      <w:r w:rsidRPr="00D93BA2">
        <w:rPr>
          <w:sz w:val="26"/>
          <w:szCs w:val="28"/>
        </w:rPr>
        <w:t xml:space="preserve"> Ngày 01/07/2019, HĐQT chấp thuận đơn xin từ nhiệm của Ông Lê Hoàng Anh thôi giữ chức vụ Chủ tịch HĐQT Công ty và thống nhất bầu Ông Lê Vinh Việt làm Chủ tịch HĐQT công ty.</w:t>
      </w:r>
    </w:p>
    <w:p w:rsidR="00F210D4" w:rsidRPr="00D93BA2" w:rsidRDefault="00F210D4" w:rsidP="00F210D4">
      <w:pPr>
        <w:pStyle w:val="ListParagraph"/>
        <w:spacing w:before="120" w:after="120" w:line="350" w:lineRule="atLeast"/>
        <w:ind w:left="1560"/>
        <w:jc w:val="both"/>
        <w:rPr>
          <w:sz w:val="26"/>
          <w:szCs w:val="28"/>
        </w:rPr>
      </w:pPr>
      <w:r w:rsidRPr="00D93BA2">
        <w:rPr>
          <w:sz w:val="26"/>
          <w:szCs w:val="28"/>
        </w:rPr>
        <w:sym w:font="Wingdings" w:char="F0E0"/>
      </w:r>
      <w:proofErr w:type="gramStart"/>
      <w:r w:rsidRPr="00D93BA2">
        <w:rPr>
          <w:sz w:val="26"/>
          <w:szCs w:val="28"/>
        </w:rPr>
        <w:t>Từ 01/7/2019, ông Lê Hoàng Anh đảm nhận chức vụ Tổng Giám đốc Công ty.</w:t>
      </w:r>
      <w:proofErr w:type="gramEnd"/>
    </w:p>
    <w:p w:rsidR="00F210D4" w:rsidRPr="00D93BA2" w:rsidRDefault="00F210D4" w:rsidP="00F210D4">
      <w:pPr>
        <w:pStyle w:val="ListParagraph"/>
        <w:spacing w:before="120" w:after="120" w:line="350" w:lineRule="atLeast"/>
        <w:ind w:left="1560"/>
        <w:jc w:val="both"/>
        <w:rPr>
          <w:sz w:val="26"/>
          <w:szCs w:val="28"/>
        </w:rPr>
      </w:pPr>
      <w:r w:rsidRPr="00D93BA2">
        <w:rPr>
          <w:sz w:val="26"/>
          <w:szCs w:val="28"/>
        </w:rPr>
        <w:sym w:font="Wingdings" w:char="F0E0"/>
      </w:r>
      <w:r w:rsidRPr="00D93BA2">
        <w:rPr>
          <w:sz w:val="26"/>
          <w:szCs w:val="28"/>
        </w:rPr>
        <w:t>Ngày 27/12/2019, Hội đồng quản trị chấp thuận đơn từ nhiệm vị trí Tổng giám đốc của ông Lê Hoàng Anh, thống nhất bổ nhiệm ông Lê Vinh Việt kiêm nhiệm vị trí Tổng giám đốc Công ty kể từ ngày 1/1/2020.</w:t>
      </w:r>
    </w:p>
    <w:p w:rsidR="0059345B" w:rsidRPr="00D93BA2" w:rsidRDefault="0059345B" w:rsidP="0059345B">
      <w:pPr>
        <w:pStyle w:val="ListParagraph"/>
        <w:numPr>
          <w:ilvl w:val="0"/>
          <w:numId w:val="26"/>
        </w:numPr>
        <w:spacing w:before="120" w:after="120" w:line="350" w:lineRule="atLeast"/>
        <w:ind w:left="1560" w:hanging="426"/>
        <w:jc w:val="both"/>
        <w:rPr>
          <w:spacing w:val="-4"/>
          <w:sz w:val="26"/>
          <w:szCs w:val="28"/>
        </w:rPr>
      </w:pPr>
      <w:r w:rsidRPr="00D93BA2">
        <w:rPr>
          <w:spacing w:val="-4"/>
          <w:sz w:val="26"/>
          <w:szCs w:val="28"/>
        </w:rPr>
        <w:t>Tháng 10 năm 2019, Công ty đã tiến hành ĐHCĐ bất thường để sửa đổi, bổ sung Điều lệ tổ chức và hoạt động của Công ty với nội dung “Công ty có một người đại diện pháp</w:t>
      </w:r>
      <w:r w:rsidR="00D93BA2" w:rsidRPr="00D93BA2">
        <w:rPr>
          <w:spacing w:val="-4"/>
          <w:sz w:val="26"/>
          <w:szCs w:val="28"/>
        </w:rPr>
        <w:t xml:space="preserve"> luật là Tổng Giám đốc Công ty”, thông qua việc thay đổi đại diện pháp luật Công ty từ vị trí Chủ tịch HĐQT sang vị trí Tổng Giám đốc cho phù hợp với thông lệ và thuận lợi cho các giao dịch của Công ty.</w:t>
      </w:r>
    </w:p>
    <w:p w:rsidR="0030484A" w:rsidRPr="00D93BA2" w:rsidRDefault="0030484A" w:rsidP="0030484A">
      <w:pPr>
        <w:pStyle w:val="ListParagraph"/>
        <w:numPr>
          <w:ilvl w:val="0"/>
          <w:numId w:val="15"/>
        </w:numPr>
        <w:spacing w:before="120" w:after="120" w:line="320" w:lineRule="atLeast"/>
        <w:jc w:val="both"/>
        <w:rPr>
          <w:sz w:val="26"/>
          <w:szCs w:val="26"/>
        </w:rPr>
      </w:pPr>
      <w:r w:rsidRPr="00D93BA2">
        <w:rPr>
          <w:sz w:val="26"/>
          <w:szCs w:val="26"/>
        </w:rPr>
        <w:lastRenderedPageBreak/>
        <w:t>HĐQT và Ban Giám đốc mặc dù có sự thay đổi về nhân sự nhưng đã thực hiện đầy đủ trách nhiệm quản lý có tính chất hợp lý, hợp pháp, tính trung thực và cẩn trọng trong hoạt động kinh doanh, đảm bảo nghiêm túc theo quy định của Luật doanh nghiệp, Điều lệ Công ty, Các Nghị quyết của Đại hội cổ đông.</w:t>
      </w:r>
    </w:p>
    <w:p w:rsidR="0030484A" w:rsidRPr="00D93BA2" w:rsidRDefault="0030484A" w:rsidP="0030484A">
      <w:pPr>
        <w:pStyle w:val="ListParagraph"/>
        <w:numPr>
          <w:ilvl w:val="0"/>
          <w:numId w:val="15"/>
        </w:numPr>
        <w:spacing w:before="120" w:after="120" w:line="320" w:lineRule="atLeast"/>
        <w:jc w:val="both"/>
        <w:rPr>
          <w:sz w:val="26"/>
          <w:szCs w:val="26"/>
        </w:rPr>
      </w:pPr>
      <w:r w:rsidRPr="00D93BA2">
        <w:rPr>
          <w:sz w:val="26"/>
          <w:szCs w:val="26"/>
        </w:rPr>
        <w:t>HĐQT họp thường kỳ đầy đủ, các thành viên HĐQT có sự thống nhất cao. Các Nghị quyết của HĐQT được ban hành kịp thời, thực hiện tốt chức năng quản trị của HĐQT, đồng thời góp phần tháo gỡ kịp thời những yêu cầu điều hành hoạt động sản xuất kinh doanh của Ban điều hành.</w:t>
      </w:r>
    </w:p>
    <w:p w:rsidR="0030484A" w:rsidRPr="00D93BA2" w:rsidRDefault="0030484A" w:rsidP="0030484A">
      <w:pPr>
        <w:pStyle w:val="ListParagraph"/>
        <w:numPr>
          <w:ilvl w:val="0"/>
          <w:numId w:val="15"/>
        </w:numPr>
        <w:spacing w:before="120" w:after="120" w:line="320" w:lineRule="atLeast"/>
        <w:jc w:val="both"/>
        <w:rPr>
          <w:sz w:val="26"/>
          <w:szCs w:val="26"/>
        </w:rPr>
      </w:pPr>
      <w:r w:rsidRPr="00D93BA2">
        <w:rPr>
          <w:sz w:val="26"/>
          <w:szCs w:val="26"/>
        </w:rPr>
        <w:t xml:space="preserve">Đảm bảo </w:t>
      </w:r>
      <w:proofErr w:type="gramStart"/>
      <w:r w:rsidRPr="00D93BA2">
        <w:rPr>
          <w:sz w:val="26"/>
          <w:szCs w:val="26"/>
        </w:rPr>
        <w:t>thu</w:t>
      </w:r>
      <w:proofErr w:type="gramEnd"/>
      <w:r w:rsidRPr="00D93BA2">
        <w:rPr>
          <w:sz w:val="26"/>
          <w:szCs w:val="26"/>
        </w:rPr>
        <w:t xml:space="preserve"> nhập người lao động ổn định. Thực hiện tốt nghĩa vụ nộp thuế cho nhà nước cũng như các khoản BHXH, BHYT, BHTN cho người </w:t>
      </w:r>
      <w:proofErr w:type="gramStart"/>
      <w:r w:rsidRPr="00D93BA2">
        <w:rPr>
          <w:sz w:val="26"/>
          <w:szCs w:val="26"/>
        </w:rPr>
        <w:t>lao</w:t>
      </w:r>
      <w:proofErr w:type="gramEnd"/>
      <w:r w:rsidRPr="00D93BA2">
        <w:rPr>
          <w:sz w:val="26"/>
          <w:szCs w:val="26"/>
        </w:rPr>
        <w:t xml:space="preserve"> động.</w:t>
      </w:r>
    </w:p>
    <w:p w:rsidR="0030484A" w:rsidRPr="00D93BA2" w:rsidRDefault="0030484A" w:rsidP="0030484A">
      <w:pPr>
        <w:pStyle w:val="ListParagraph"/>
        <w:numPr>
          <w:ilvl w:val="0"/>
          <w:numId w:val="15"/>
        </w:numPr>
        <w:tabs>
          <w:tab w:val="clear" w:pos="720"/>
          <w:tab w:val="num" w:pos="1134"/>
        </w:tabs>
        <w:spacing w:before="120" w:after="120" w:line="320" w:lineRule="atLeast"/>
        <w:jc w:val="both"/>
        <w:rPr>
          <w:sz w:val="26"/>
          <w:szCs w:val="26"/>
        </w:rPr>
      </w:pPr>
      <w:r w:rsidRPr="00D93BA2">
        <w:rPr>
          <w:sz w:val="26"/>
          <w:szCs w:val="26"/>
        </w:rPr>
        <w:t xml:space="preserve">HĐQT và BGĐ đã nhất quán thực hiện những định hướng đúng đắn trong hoạt động sản xuất kinh doanh là chuyển đổi hoạt động SXKD từ xây lắp là chủ đạo sang lĩnh vực đầu tư, kinh doanh bất động sản. Tuy nhiên, kết quả của hoạt động kinh doanh bất động sản chưa cao, chưa gánh đỡ được các thiệt hại từ các hoạt động đầu tư trước đây để lại. Đòi hỏi HĐQT và Ban Giám đốc phải nỗ lực hơn nữa trong giai đoạn tiếp </w:t>
      </w:r>
      <w:proofErr w:type="gramStart"/>
      <w:r w:rsidRPr="00D93BA2">
        <w:rPr>
          <w:sz w:val="26"/>
          <w:szCs w:val="26"/>
        </w:rPr>
        <w:t>theo</w:t>
      </w:r>
      <w:proofErr w:type="gramEnd"/>
      <w:r w:rsidRPr="00D93BA2">
        <w:rPr>
          <w:sz w:val="26"/>
          <w:szCs w:val="26"/>
        </w:rPr>
        <w:t>.</w:t>
      </w:r>
    </w:p>
    <w:p w:rsidR="00496C4C" w:rsidRPr="00D93BA2" w:rsidRDefault="00496C4C" w:rsidP="00CE165C">
      <w:pPr>
        <w:spacing w:before="120" w:after="120" w:line="350" w:lineRule="atLeast"/>
        <w:ind w:left="720" w:hanging="360"/>
        <w:jc w:val="both"/>
        <w:rPr>
          <w:b/>
          <w:sz w:val="26"/>
          <w:szCs w:val="26"/>
        </w:rPr>
      </w:pPr>
      <w:proofErr w:type="gramStart"/>
      <w:r w:rsidRPr="00D93BA2">
        <w:rPr>
          <w:b/>
          <w:sz w:val="26"/>
          <w:szCs w:val="26"/>
        </w:rPr>
        <w:t xml:space="preserve">II/ </w:t>
      </w:r>
      <w:r w:rsidR="000D59FA" w:rsidRPr="00D93BA2">
        <w:rPr>
          <w:b/>
          <w:sz w:val="26"/>
          <w:szCs w:val="26"/>
        </w:rPr>
        <w:t>Các chỉ tiêu tài chính và t</w:t>
      </w:r>
      <w:r w:rsidRPr="00D93BA2">
        <w:rPr>
          <w:b/>
          <w:sz w:val="26"/>
          <w:szCs w:val="26"/>
        </w:rPr>
        <w:t>ình hình sản xuất kinh doanh của Công ty.</w:t>
      </w:r>
      <w:proofErr w:type="gramEnd"/>
    </w:p>
    <w:p w:rsidR="00496C4C" w:rsidRPr="00D93BA2" w:rsidRDefault="00496C4C" w:rsidP="00CE165C">
      <w:pPr>
        <w:spacing w:after="120" w:line="350" w:lineRule="atLeast"/>
        <w:ind w:left="720"/>
        <w:jc w:val="both"/>
        <w:rPr>
          <w:sz w:val="26"/>
          <w:szCs w:val="26"/>
        </w:rPr>
      </w:pPr>
      <w:r w:rsidRPr="00D93BA2">
        <w:rPr>
          <w:sz w:val="26"/>
          <w:szCs w:val="26"/>
        </w:rPr>
        <w:t xml:space="preserve">Ban kiểm soát thống nhất với các nội dung của Báo cáo tài chính năm </w:t>
      </w:r>
      <w:r w:rsidR="006D1C5E" w:rsidRPr="00D93BA2">
        <w:rPr>
          <w:sz w:val="26"/>
          <w:szCs w:val="26"/>
        </w:rPr>
        <w:t>201</w:t>
      </w:r>
      <w:r w:rsidR="0051016C" w:rsidRPr="00D93BA2">
        <w:rPr>
          <w:sz w:val="26"/>
          <w:szCs w:val="26"/>
        </w:rPr>
        <w:t>9</w:t>
      </w:r>
      <w:r w:rsidRPr="00D93BA2">
        <w:rPr>
          <w:sz w:val="26"/>
          <w:szCs w:val="26"/>
        </w:rPr>
        <w:t xml:space="preserve"> đã được Ban Tổng giám đốc Công ty lập và </w:t>
      </w:r>
      <w:r w:rsidR="00150BB1" w:rsidRPr="00D93BA2">
        <w:rPr>
          <w:sz w:val="26"/>
          <w:szCs w:val="26"/>
        </w:rPr>
        <w:t>ý kiến đánh giá kiểm toán của</w:t>
      </w:r>
      <w:r w:rsidRPr="00D93BA2">
        <w:rPr>
          <w:sz w:val="26"/>
          <w:szCs w:val="26"/>
        </w:rPr>
        <w:t xml:space="preserve"> Công ty TNHH kiểm toán và định giá </w:t>
      </w:r>
      <w:r w:rsidR="00021176" w:rsidRPr="00D93BA2">
        <w:rPr>
          <w:sz w:val="26"/>
          <w:szCs w:val="26"/>
        </w:rPr>
        <w:t>Việt Nam</w:t>
      </w:r>
      <w:r w:rsidRPr="00D93BA2">
        <w:rPr>
          <w:sz w:val="26"/>
          <w:szCs w:val="26"/>
        </w:rPr>
        <w:t xml:space="preserve"> (</w:t>
      </w:r>
      <w:r w:rsidR="00021176" w:rsidRPr="00D93BA2">
        <w:rPr>
          <w:sz w:val="26"/>
          <w:szCs w:val="26"/>
        </w:rPr>
        <w:t>VAE</w:t>
      </w:r>
      <w:r w:rsidRPr="00D93BA2">
        <w:rPr>
          <w:sz w:val="26"/>
          <w:szCs w:val="26"/>
        </w:rPr>
        <w:t xml:space="preserve">). Báo cáo tài chính của Công ty năm </w:t>
      </w:r>
      <w:r w:rsidR="006D1C5E" w:rsidRPr="00D93BA2">
        <w:rPr>
          <w:sz w:val="26"/>
          <w:szCs w:val="26"/>
        </w:rPr>
        <w:t>201</w:t>
      </w:r>
      <w:r w:rsidR="0051016C" w:rsidRPr="00D93BA2">
        <w:rPr>
          <w:sz w:val="26"/>
          <w:szCs w:val="26"/>
        </w:rPr>
        <w:t>9</w:t>
      </w:r>
      <w:r w:rsidRPr="00D93BA2">
        <w:rPr>
          <w:sz w:val="26"/>
          <w:szCs w:val="26"/>
        </w:rPr>
        <w:t xml:space="preserve"> </w:t>
      </w:r>
      <w:r w:rsidR="00150BB1" w:rsidRPr="00D93BA2">
        <w:rPr>
          <w:sz w:val="26"/>
          <w:szCs w:val="26"/>
        </w:rPr>
        <w:t>được lập</w:t>
      </w:r>
      <w:r w:rsidRPr="00D93BA2">
        <w:rPr>
          <w:sz w:val="26"/>
          <w:szCs w:val="26"/>
        </w:rPr>
        <w:t xml:space="preserve"> phù hợp với chuẩn mực kế toán Việt Nam, chế độ kế toán doanh nghiệp và các quy định pháp lý có liên quan đến việc lập và trình bày về tình hình tài chính của Công ty tại thời điểm 31/12/</w:t>
      </w:r>
      <w:r w:rsidR="006D1C5E" w:rsidRPr="00D93BA2">
        <w:rPr>
          <w:sz w:val="26"/>
          <w:szCs w:val="26"/>
        </w:rPr>
        <w:t>201</w:t>
      </w:r>
      <w:r w:rsidR="0051016C" w:rsidRPr="00D93BA2">
        <w:rPr>
          <w:sz w:val="26"/>
          <w:szCs w:val="26"/>
        </w:rPr>
        <w:t>9</w:t>
      </w:r>
      <w:r w:rsidRPr="00D93BA2">
        <w:rPr>
          <w:sz w:val="26"/>
          <w:szCs w:val="26"/>
        </w:rPr>
        <w:t xml:space="preserve">, kết quả hoạt động </w:t>
      </w:r>
      <w:r w:rsidR="00D93BA2" w:rsidRPr="00D93BA2">
        <w:rPr>
          <w:sz w:val="26"/>
          <w:szCs w:val="26"/>
        </w:rPr>
        <w:t>SXKD</w:t>
      </w:r>
      <w:r w:rsidRPr="00D93BA2">
        <w:rPr>
          <w:sz w:val="26"/>
          <w:szCs w:val="26"/>
        </w:rPr>
        <w:t xml:space="preserve"> và tình hình lưu chuyển tiền tệ từ 01/01/</w:t>
      </w:r>
      <w:r w:rsidR="006D1C5E" w:rsidRPr="00D93BA2">
        <w:rPr>
          <w:sz w:val="26"/>
          <w:szCs w:val="26"/>
        </w:rPr>
        <w:t>201</w:t>
      </w:r>
      <w:r w:rsidR="00EB1B8B" w:rsidRPr="00D93BA2">
        <w:rPr>
          <w:sz w:val="26"/>
          <w:szCs w:val="26"/>
        </w:rPr>
        <w:t>9</w:t>
      </w:r>
      <w:r w:rsidRPr="00D93BA2">
        <w:rPr>
          <w:sz w:val="26"/>
          <w:szCs w:val="26"/>
        </w:rPr>
        <w:t xml:space="preserve"> đến 31/12/</w:t>
      </w:r>
      <w:r w:rsidR="006D1C5E" w:rsidRPr="00D93BA2">
        <w:rPr>
          <w:sz w:val="26"/>
          <w:szCs w:val="26"/>
        </w:rPr>
        <w:t>201</w:t>
      </w:r>
      <w:r w:rsidR="0051016C" w:rsidRPr="00D93BA2">
        <w:rPr>
          <w:sz w:val="26"/>
          <w:szCs w:val="26"/>
        </w:rPr>
        <w:t>9</w:t>
      </w:r>
      <w:r w:rsidRPr="00D93BA2">
        <w:rPr>
          <w:sz w:val="26"/>
          <w:szCs w:val="26"/>
        </w:rPr>
        <w:t xml:space="preserve">. Các chỉ tiêu cơ bản thực hiện trong năm </w:t>
      </w:r>
      <w:r w:rsidR="006D1C5E" w:rsidRPr="00D93BA2">
        <w:rPr>
          <w:sz w:val="26"/>
          <w:szCs w:val="26"/>
        </w:rPr>
        <w:t>201</w:t>
      </w:r>
      <w:r w:rsidR="0051016C" w:rsidRPr="00D93BA2">
        <w:rPr>
          <w:sz w:val="26"/>
          <w:szCs w:val="26"/>
        </w:rPr>
        <w:t>9</w:t>
      </w:r>
      <w:r w:rsidRPr="00D93BA2">
        <w:rPr>
          <w:sz w:val="26"/>
          <w:szCs w:val="26"/>
        </w:rPr>
        <w:t xml:space="preserve"> </w:t>
      </w:r>
      <w:proofErr w:type="gramStart"/>
      <w:r w:rsidRPr="00D93BA2">
        <w:rPr>
          <w:sz w:val="26"/>
          <w:szCs w:val="26"/>
        </w:rPr>
        <w:t>theo</w:t>
      </w:r>
      <w:proofErr w:type="gramEnd"/>
      <w:r w:rsidRPr="00D93BA2">
        <w:rPr>
          <w:sz w:val="26"/>
          <w:szCs w:val="26"/>
        </w:rPr>
        <w:t xml:space="preserve"> Báo cáo tài chính </w:t>
      </w:r>
      <w:r w:rsidR="0051016C" w:rsidRPr="00D93BA2">
        <w:rPr>
          <w:sz w:val="26"/>
          <w:szCs w:val="26"/>
        </w:rPr>
        <w:t xml:space="preserve">riêng của Công ty (BCTC Công ty Mẹ) và Báo cáo tài chính sau hợp nhất </w:t>
      </w:r>
      <w:r w:rsidRPr="00D93BA2">
        <w:rPr>
          <w:sz w:val="26"/>
          <w:szCs w:val="26"/>
        </w:rPr>
        <w:t>như sau:</w:t>
      </w:r>
    </w:p>
    <w:p w:rsidR="00D93BA2" w:rsidRPr="00D93BA2" w:rsidRDefault="00D93BA2" w:rsidP="00D93BA2">
      <w:pPr>
        <w:spacing w:after="120" w:line="350" w:lineRule="atLeast"/>
        <w:ind w:left="720"/>
        <w:jc w:val="right"/>
        <w:rPr>
          <w:i/>
          <w:sz w:val="26"/>
          <w:szCs w:val="26"/>
        </w:rPr>
      </w:pPr>
      <w:r w:rsidRPr="00D93BA2">
        <w:rPr>
          <w:i/>
          <w:sz w:val="26"/>
          <w:szCs w:val="26"/>
        </w:rPr>
        <w:t>Đơn vị tính: Tỷ đồng</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
        <w:gridCol w:w="2693"/>
        <w:gridCol w:w="1560"/>
        <w:gridCol w:w="1518"/>
        <w:gridCol w:w="1492"/>
        <w:gridCol w:w="1492"/>
      </w:tblGrid>
      <w:tr w:rsidR="006E342F" w:rsidRPr="00D93BA2" w:rsidTr="00D93BA2">
        <w:tc>
          <w:tcPr>
            <w:tcW w:w="567" w:type="dxa"/>
            <w:vMerge w:val="restart"/>
            <w:tcBorders>
              <w:top w:val="single" w:sz="4" w:space="0" w:color="auto"/>
              <w:left w:val="single" w:sz="4" w:space="0" w:color="auto"/>
              <w:right w:val="single" w:sz="4" w:space="0" w:color="auto"/>
            </w:tcBorders>
            <w:vAlign w:val="center"/>
          </w:tcPr>
          <w:p w:rsidR="006E342F" w:rsidRPr="00D93BA2" w:rsidRDefault="006E342F" w:rsidP="008C6228">
            <w:pPr>
              <w:spacing w:line="320" w:lineRule="atLeast"/>
              <w:jc w:val="center"/>
              <w:rPr>
                <w:b/>
                <w:bCs/>
                <w:color w:val="000000"/>
                <w:sz w:val="26"/>
                <w:szCs w:val="28"/>
              </w:rPr>
            </w:pPr>
            <w:r w:rsidRPr="00D93BA2">
              <w:rPr>
                <w:b/>
                <w:bCs/>
                <w:color w:val="000000"/>
                <w:sz w:val="26"/>
                <w:szCs w:val="28"/>
              </w:rPr>
              <w:t>STT</w:t>
            </w:r>
          </w:p>
        </w:tc>
        <w:tc>
          <w:tcPr>
            <w:tcW w:w="2693" w:type="dxa"/>
            <w:vMerge w:val="restart"/>
            <w:tcBorders>
              <w:top w:val="single" w:sz="4" w:space="0" w:color="auto"/>
              <w:left w:val="single" w:sz="4" w:space="0" w:color="auto"/>
              <w:right w:val="single" w:sz="4" w:space="0" w:color="auto"/>
            </w:tcBorders>
            <w:vAlign w:val="center"/>
          </w:tcPr>
          <w:p w:rsidR="006E342F" w:rsidRPr="00D93BA2" w:rsidRDefault="006E342F" w:rsidP="008C6228">
            <w:pPr>
              <w:spacing w:line="320" w:lineRule="atLeast"/>
              <w:jc w:val="center"/>
              <w:rPr>
                <w:b/>
                <w:bCs/>
                <w:color w:val="000000"/>
                <w:sz w:val="26"/>
                <w:szCs w:val="28"/>
              </w:rPr>
            </w:pPr>
            <w:r w:rsidRPr="00D93BA2">
              <w:rPr>
                <w:b/>
                <w:bCs/>
                <w:color w:val="000000"/>
                <w:sz w:val="26"/>
                <w:szCs w:val="28"/>
              </w:rPr>
              <w:t>Chỉ tiêu</w:t>
            </w:r>
          </w:p>
        </w:tc>
        <w:tc>
          <w:tcPr>
            <w:tcW w:w="3078" w:type="dxa"/>
            <w:gridSpan w:val="2"/>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center"/>
              <w:rPr>
                <w:b/>
                <w:bCs/>
                <w:color w:val="000000"/>
                <w:sz w:val="26"/>
                <w:szCs w:val="28"/>
              </w:rPr>
            </w:pPr>
            <w:r w:rsidRPr="00D93BA2">
              <w:rPr>
                <w:b/>
                <w:bCs/>
                <w:color w:val="000000"/>
                <w:sz w:val="26"/>
                <w:szCs w:val="28"/>
              </w:rPr>
              <w:t>BCTC Cty Mẹ</w:t>
            </w:r>
          </w:p>
        </w:tc>
        <w:tc>
          <w:tcPr>
            <w:tcW w:w="2984" w:type="dxa"/>
            <w:gridSpan w:val="2"/>
            <w:tcBorders>
              <w:top w:val="single" w:sz="4" w:space="0" w:color="auto"/>
              <w:left w:val="single" w:sz="4" w:space="0" w:color="auto"/>
              <w:bottom w:val="single" w:sz="4" w:space="0" w:color="auto"/>
              <w:right w:val="single" w:sz="4" w:space="0" w:color="auto"/>
            </w:tcBorders>
          </w:tcPr>
          <w:p w:rsidR="006E342F" w:rsidRPr="00D93BA2" w:rsidRDefault="006E342F" w:rsidP="008C6228">
            <w:pPr>
              <w:spacing w:line="320" w:lineRule="atLeast"/>
              <w:jc w:val="center"/>
              <w:rPr>
                <w:b/>
                <w:bCs/>
                <w:color w:val="000000"/>
                <w:sz w:val="26"/>
                <w:szCs w:val="28"/>
              </w:rPr>
            </w:pPr>
            <w:r w:rsidRPr="00D93BA2">
              <w:rPr>
                <w:b/>
                <w:bCs/>
                <w:color w:val="000000"/>
                <w:sz w:val="26"/>
                <w:szCs w:val="28"/>
              </w:rPr>
              <w:t>BCTC hợp nhất</w:t>
            </w:r>
          </w:p>
        </w:tc>
      </w:tr>
      <w:tr w:rsidR="006E342F" w:rsidRPr="00D93BA2" w:rsidTr="00D93BA2">
        <w:tc>
          <w:tcPr>
            <w:tcW w:w="567" w:type="dxa"/>
            <w:vMerge/>
            <w:tcBorders>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p>
        </w:tc>
        <w:tc>
          <w:tcPr>
            <w:tcW w:w="2693" w:type="dxa"/>
            <w:vMerge/>
            <w:tcBorders>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b/>
                <w:bCs/>
                <w:color w:val="000000"/>
                <w:sz w:val="26"/>
                <w:szCs w:val="28"/>
              </w:rPr>
              <w:t>Tại 31/12/2019</w:t>
            </w:r>
          </w:p>
        </w:tc>
        <w:tc>
          <w:tcPr>
            <w:tcW w:w="1518" w:type="dxa"/>
            <w:tcBorders>
              <w:top w:val="single" w:sz="4" w:space="0" w:color="auto"/>
              <w:left w:val="single" w:sz="4" w:space="0" w:color="auto"/>
              <w:bottom w:val="single" w:sz="4" w:space="0" w:color="auto"/>
              <w:right w:val="single" w:sz="4" w:space="0" w:color="auto"/>
            </w:tcBorders>
          </w:tcPr>
          <w:p w:rsidR="006E342F" w:rsidRPr="00D93BA2" w:rsidRDefault="006E342F" w:rsidP="008C6228">
            <w:pPr>
              <w:spacing w:line="320" w:lineRule="atLeast"/>
              <w:jc w:val="center"/>
              <w:rPr>
                <w:b/>
                <w:bCs/>
                <w:color w:val="000000"/>
                <w:sz w:val="26"/>
                <w:szCs w:val="28"/>
              </w:rPr>
            </w:pPr>
            <w:r w:rsidRPr="00D93BA2">
              <w:rPr>
                <w:b/>
                <w:bCs/>
                <w:color w:val="000000"/>
                <w:sz w:val="26"/>
                <w:szCs w:val="28"/>
              </w:rPr>
              <w:t>Tại 31/12/2018</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center"/>
              <w:rPr>
                <w:sz w:val="26"/>
                <w:szCs w:val="28"/>
              </w:rPr>
            </w:pPr>
            <w:r w:rsidRPr="00D93BA2">
              <w:rPr>
                <w:b/>
                <w:bCs/>
                <w:color w:val="000000"/>
                <w:sz w:val="26"/>
                <w:szCs w:val="28"/>
              </w:rPr>
              <w:t>Tại 31/12/2019</w:t>
            </w:r>
          </w:p>
        </w:tc>
        <w:tc>
          <w:tcPr>
            <w:tcW w:w="1492" w:type="dxa"/>
            <w:tcBorders>
              <w:top w:val="single" w:sz="4" w:space="0" w:color="auto"/>
              <w:left w:val="single" w:sz="4" w:space="0" w:color="auto"/>
              <w:bottom w:val="single" w:sz="4" w:space="0" w:color="auto"/>
              <w:right w:val="single" w:sz="4" w:space="0" w:color="auto"/>
            </w:tcBorders>
          </w:tcPr>
          <w:p w:rsidR="006E342F" w:rsidRPr="00D93BA2" w:rsidRDefault="006E342F" w:rsidP="008C6228">
            <w:pPr>
              <w:spacing w:line="320" w:lineRule="atLeast"/>
              <w:jc w:val="center"/>
              <w:rPr>
                <w:b/>
                <w:bCs/>
                <w:color w:val="000000"/>
                <w:sz w:val="26"/>
                <w:szCs w:val="28"/>
              </w:rPr>
            </w:pPr>
            <w:r w:rsidRPr="00D93BA2">
              <w:rPr>
                <w:b/>
                <w:bCs/>
                <w:color w:val="000000"/>
                <w:sz w:val="26"/>
                <w:szCs w:val="28"/>
              </w:rPr>
              <w:t>Tại 31/12/2018</w:t>
            </w: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b/>
                <w:bCs/>
                <w:color w:val="000000"/>
                <w:sz w:val="26"/>
                <w:szCs w:val="28"/>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b/>
                <w:bCs/>
                <w:color w:val="000000"/>
                <w:sz w:val="26"/>
                <w:szCs w:val="28"/>
              </w:rPr>
              <w:t xml:space="preserve">Tổng tài sản </w:t>
            </w:r>
          </w:p>
        </w:tc>
        <w:tc>
          <w:tcPr>
            <w:tcW w:w="1560"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sz w:val="26"/>
                <w:szCs w:val="28"/>
              </w:rPr>
              <w:t>600</w:t>
            </w:r>
          </w:p>
        </w:tc>
        <w:tc>
          <w:tcPr>
            <w:tcW w:w="1518"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b/>
                <w:bCs/>
                <w:color w:val="000000"/>
                <w:sz w:val="26"/>
                <w:szCs w:val="28"/>
              </w:rPr>
            </w:pPr>
            <w:r w:rsidRPr="00D93BA2">
              <w:rPr>
                <w:b/>
                <w:bCs/>
                <w:color w:val="000000"/>
                <w:sz w:val="26"/>
                <w:szCs w:val="28"/>
              </w:rPr>
              <w:t>635</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b/>
                <w:bCs/>
                <w:color w:val="000000"/>
                <w:sz w:val="26"/>
                <w:szCs w:val="28"/>
              </w:rPr>
              <w:t>922</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b/>
                <w:bCs/>
                <w:color w:val="000000"/>
                <w:sz w:val="26"/>
                <w:szCs w:val="28"/>
              </w:rPr>
            </w:pPr>
            <w:r w:rsidRPr="00D93BA2">
              <w:rPr>
                <w:b/>
                <w:bCs/>
                <w:color w:val="000000"/>
                <w:sz w:val="26"/>
                <w:szCs w:val="28"/>
              </w:rPr>
              <w:t>1.206</w:t>
            </w: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b/>
                <w:bCs/>
                <w:color w:val="000000"/>
                <w:sz w:val="26"/>
                <w:szCs w:val="28"/>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b/>
                <w:bCs/>
                <w:color w:val="000000"/>
                <w:sz w:val="26"/>
                <w:szCs w:val="28"/>
              </w:rPr>
              <w:t xml:space="preserve">Vốn chủ sở hữu </w:t>
            </w:r>
          </w:p>
        </w:tc>
        <w:tc>
          <w:tcPr>
            <w:tcW w:w="1560"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sz w:val="26"/>
                <w:szCs w:val="28"/>
              </w:rPr>
              <w:t>243</w:t>
            </w:r>
          </w:p>
        </w:tc>
        <w:tc>
          <w:tcPr>
            <w:tcW w:w="1518"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b/>
                <w:bCs/>
                <w:color w:val="000000"/>
                <w:sz w:val="26"/>
                <w:szCs w:val="28"/>
              </w:rPr>
            </w:pPr>
            <w:r w:rsidRPr="00D93BA2">
              <w:rPr>
                <w:b/>
                <w:bCs/>
                <w:color w:val="000000"/>
                <w:sz w:val="26"/>
                <w:szCs w:val="28"/>
              </w:rPr>
              <w:t>243</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b/>
                <w:bCs/>
                <w:color w:val="000000"/>
                <w:sz w:val="26"/>
                <w:szCs w:val="28"/>
              </w:rPr>
              <w:t>309</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b/>
                <w:bCs/>
                <w:color w:val="000000"/>
                <w:sz w:val="26"/>
                <w:szCs w:val="28"/>
              </w:rPr>
            </w:pPr>
            <w:r w:rsidRPr="00D93BA2">
              <w:rPr>
                <w:b/>
                <w:bCs/>
                <w:color w:val="000000"/>
                <w:sz w:val="26"/>
                <w:szCs w:val="28"/>
              </w:rPr>
              <w:t>270</w:t>
            </w: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b/>
                <w:bCs/>
                <w:color w:val="000000"/>
                <w:sz w:val="26"/>
                <w:szCs w:val="28"/>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b/>
                <w:bCs/>
                <w:color w:val="000000"/>
                <w:sz w:val="26"/>
                <w:szCs w:val="28"/>
              </w:rPr>
              <w:t>Kết quả kinh doanh năm 2019</w:t>
            </w:r>
          </w:p>
        </w:tc>
        <w:tc>
          <w:tcPr>
            <w:tcW w:w="1560" w:type="dxa"/>
            <w:vAlign w:val="center"/>
          </w:tcPr>
          <w:p w:rsidR="006E342F" w:rsidRPr="00D93BA2" w:rsidRDefault="006E342F" w:rsidP="008C6228">
            <w:pPr>
              <w:spacing w:line="320" w:lineRule="atLeast"/>
              <w:jc w:val="right"/>
              <w:rPr>
                <w:sz w:val="26"/>
                <w:szCs w:val="28"/>
              </w:rPr>
            </w:pPr>
          </w:p>
        </w:tc>
        <w:tc>
          <w:tcPr>
            <w:tcW w:w="1518" w:type="dxa"/>
            <w:vAlign w:val="center"/>
          </w:tcPr>
          <w:p w:rsidR="006E342F" w:rsidRPr="00D93BA2" w:rsidRDefault="006E342F" w:rsidP="008C6228">
            <w:pPr>
              <w:spacing w:line="320" w:lineRule="atLeast"/>
              <w:jc w:val="right"/>
              <w:rPr>
                <w:sz w:val="26"/>
                <w:szCs w:val="28"/>
              </w:rPr>
            </w:pPr>
          </w:p>
        </w:tc>
        <w:tc>
          <w:tcPr>
            <w:tcW w:w="1492" w:type="dxa"/>
            <w:vAlign w:val="center"/>
          </w:tcPr>
          <w:p w:rsidR="006E342F" w:rsidRPr="00D93BA2" w:rsidRDefault="006E342F" w:rsidP="008C6228">
            <w:pPr>
              <w:spacing w:line="320" w:lineRule="atLeast"/>
              <w:jc w:val="right"/>
              <w:rPr>
                <w:sz w:val="26"/>
                <w:szCs w:val="28"/>
              </w:rPr>
            </w:pPr>
          </w:p>
        </w:tc>
        <w:tc>
          <w:tcPr>
            <w:tcW w:w="1492" w:type="dxa"/>
            <w:vAlign w:val="center"/>
          </w:tcPr>
          <w:p w:rsidR="006E342F" w:rsidRPr="00D93BA2" w:rsidRDefault="006E342F" w:rsidP="008C6228">
            <w:pPr>
              <w:spacing w:line="320" w:lineRule="atLeast"/>
              <w:jc w:val="right"/>
              <w:rPr>
                <w:sz w:val="26"/>
                <w:szCs w:val="28"/>
              </w:rPr>
            </w:pP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color w:val="000000"/>
                <w:sz w:val="26"/>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color w:val="000000"/>
                <w:sz w:val="26"/>
                <w:szCs w:val="28"/>
              </w:rPr>
              <w:t xml:space="preserve">Doanh thu thuần </w:t>
            </w:r>
          </w:p>
        </w:tc>
        <w:tc>
          <w:tcPr>
            <w:tcW w:w="1560"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sz w:val="26"/>
                <w:szCs w:val="28"/>
              </w:rPr>
              <w:t>189</w:t>
            </w:r>
          </w:p>
        </w:tc>
        <w:tc>
          <w:tcPr>
            <w:tcW w:w="1518"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270</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color w:val="000000"/>
                <w:sz w:val="26"/>
                <w:szCs w:val="28"/>
              </w:rPr>
              <w:t>575</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110</w:t>
            </w: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color w:val="000000"/>
                <w:sz w:val="26"/>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color w:val="000000"/>
                <w:sz w:val="26"/>
                <w:szCs w:val="28"/>
              </w:rPr>
              <w:t xml:space="preserve">Tổng lợi nhuận kế toán trước thuế </w:t>
            </w:r>
          </w:p>
        </w:tc>
        <w:tc>
          <w:tcPr>
            <w:tcW w:w="1560"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sz w:val="26"/>
                <w:szCs w:val="28"/>
              </w:rPr>
              <w:t>0,9</w:t>
            </w:r>
          </w:p>
        </w:tc>
        <w:tc>
          <w:tcPr>
            <w:tcW w:w="1518"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-33</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color w:val="000000"/>
                <w:sz w:val="26"/>
                <w:szCs w:val="28"/>
              </w:rPr>
              <w:t>32</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-47</w:t>
            </w: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color w:val="000000"/>
                <w:sz w:val="26"/>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color w:val="000000"/>
                <w:sz w:val="26"/>
                <w:szCs w:val="28"/>
              </w:rPr>
              <w:t xml:space="preserve">Lợi nhuận sau thuế TNDN </w:t>
            </w:r>
          </w:p>
        </w:tc>
        <w:tc>
          <w:tcPr>
            <w:tcW w:w="1560"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sz w:val="26"/>
                <w:szCs w:val="28"/>
              </w:rPr>
              <w:t>0,6</w:t>
            </w:r>
          </w:p>
        </w:tc>
        <w:tc>
          <w:tcPr>
            <w:tcW w:w="1518"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-33</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color w:val="000000"/>
                <w:sz w:val="26"/>
                <w:szCs w:val="28"/>
              </w:rPr>
              <w:t>24</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-45</w:t>
            </w:r>
          </w:p>
        </w:tc>
      </w:tr>
      <w:tr w:rsidR="006E342F" w:rsidRPr="00D93BA2" w:rsidTr="00D93BA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jc w:val="center"/>
              <w:rPr>
                <w:sz w:val="26"/>
                <w:szCs w:val="28"/>
              </w:rPr>
            </w:pPr>
            <w:r w:rsidRPr="00D93BA2">
              <w:rPr>
                <w:color w:val="000000"/>
                <w:sz w:val="26"/>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42F" w:rsidRPr="00D93BA2" w:rsidRDefault="006E342F" w:rsidP="008C6228">
            <w:pPr>
              <w:spacing w:line="320" w:lineRule="atLeast"/>
              <w:rPr>
                <w:sz w:val="26"/>
                <w:szCs w:val="28"/>
              </w:rPr>
            </w:pPr>
            <w:r w:rsidRPr="00D93BA2">
              <w:rPr>
                <w:color w:val="000000"/>
                <w:sz w:val="26"/>
                <w:szCs w:val="28"/>
              </w:rPr>
              <w:t xml:space="preserve">Lợi nhuận sau thuế của cổ đông Công ty mẹ </w:t>
            </w:r>
          </w:p>
        </w:tc>
        <w:tc>
          <w:tcPr>
            <w:tcW w:w="1560"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sz w:val="26"/>
                <w:szCs w:val="28"/>
              </w:rPr>
            </w:pPr>
            <w:r w:rsidRPr="00D93BA2">
              <w:rPr>
                <w:color w:val="000000"/>
                <w:sz w:val="26"/>
                <w:szCs w:val="28"/>
              </w:rPr>
              <w:t>16</w:t>
            </w:r>
          </w:p>
        </w:tc>
        <w:tc>
          <w:tcPr>
            <w:tcW w:w="1492" w:type="dxa"/>
            <w:tcBorders>
              <w:top w:val="single" w:sz="4" w:space="0" w:color="auto"/>
              <w:left w:val="single" w:sz="4" w:space="0" w:color="auto"/>
              <w:bottom w:val="single" w:sz="4" w:space="0" w:color="auto"/>
              <w:right w:val="single" w:sz="4" w:space="0" w:color="auto"/>
            </w:tcBorders>
            <w:vAlign w:val="center"/>
          </w:tcPr>
          <w:p w:rsidR="006E342F" w:rsidRPr="00D93BA2" w:rsidRDefault="006E342F" w:rsidP="008C6228">
            <w:pPr>
              <w:spacing w:line="320" w:lineRule="atLeast"/>
              <w:jc w:val="right"/>
              <w:rPr>
                <w:color w:val="000000"/>
                <w:sz w:val="26"/>
                <w:szCs w:val="28"/>
              </w:rPr>
            </w:pPr>
            <w:r w:rsidRPr="00D93BA2">
              <w:rPr>
                <w:color w:val="000000"/>
                <w:sz w:val="26"/>
                <w:szCs w:val="28"/>
              </w:rPr>
              <w:t>-46</w:t>
            </w:r>
          </w:p>
        </w:tc>
      </w:tr>
    </w:tbl>
    <w:p w:rsidR="006E342F" w:rsidRPr="00D93BA2" w:rsidRDefault="006E342F" w:rsidP="00025692">
      <w:pPr>
        <w:spacing w:before="120" w:after="120" w:line="350" w:lineRule="atLeast"/>
        <w:ind w:left="720"/>
        <w:jc w:val="both"/>
        <w:rPr>
          <w:sz w:val="26"/>
          <w:szCs w:val="26"/>
        </w:rPr>
      </w:pPr>
      <w:r w:rsidRPr="00D93BA2">
        <w:rPr>
          <w:sz w:val="26"/>
          <w:szCs w:val="26"/>
        </w:rPr>
        <w:t>Trong năm 2019, để khắc phục cho tình trạng tình hình tài chính bất ổn như: Sản lượng nghiệm thu thanh toán thấp, việc giải ngân của các Ngân hàng bị thắt chặt do hết hạn mức tín dụng</w:t>
      </w:r>
      <w:r w:rsidR="00EB1B8B" w:rsidRPr="00D93BA2">
        <w:rPr>
          <w:sz w:val="26"/>
          <w:szCs w:val="26"/>
        </w:rPr>
        <w:t xml:space="preserve"> hoặc không thỏa mãn điều kiện giải ngân</w:t>
      </w:r>
      <w:r w:rsidRPr="00D93BA2">
        <w:rPr>
          <w:sz w:val="26"/>
          <w:szCs w:val="26"/>
        </w:rPr>
        <w:t xml:space="preserve">, Công ty đã chuyển nhượng lô đất tại </w:t>
      </w:r>
      <w:r w:rsidRPr="00D93BA2">
        <w:rPr>
          <w:sz w:val="26"/>
          <w:szCs w:val="26"/>
        </w:rPr>
        <w:lastRenderedPageBreak/>
        <w:t xml:space="preserve">Quận Bình Thạnh – TP Hồ Chí Minh (Nguyên là trụ sở Chi nhánh Công ty tại TP Hồ Chí Minh) lấy nguồn tiền để bù đắp cho hoạt động kinh doanh xây lắp. Đồng thời, Ban Lãnh đạo cùng các Phòng, Ban đã rà soát, đánh giá các khoản phải </w:t>
      </w:r>
      <w:proofErr w:type="gramStart"/>
      <w:r w:rsidRPr="00D93BA2">
        <w:rPr>
          <w:sz w:val="26"/>
          <w:szCs w:val="26"/>
        </w:rPr>
        <w:t>thu</w:t>
      </w:r>
      <w:proofErr w:type="gramEnd"/>
      <w:r w:rsidRPr="00D93BA2">
        <w:rPr>
          <w:sz w:val="26"/>
          <w:szCs w:val="26"/>
        </w:rPr>
        <w:t xml:space="preserve">, các khoản phải trả (là các khoản công nợ tồn đọng lâu, kéo dài, không phải thanh toán hoặc không có khả năng thu hồi) để ghi nhận vào thu nhập và chi phí khác. </w:t>
      </w:r>
      <w:proofErr w:type="gramStart"/>
      <w:r w:rsidRPr="00D93BA2">
        <w:rPr>
          <w:sz w:val="26"/>
          <w:szCs w:val="26"/>
        </w:rPr>
        <w:t>Điều này đã cải thiện kết quả kinh doanh của Công ty Mẹ năm 2019.</w:t>
      </w:r>
      <w:proofErr w:type="gramEnd"/>
      <w:r w:rsidRPr="00D93BA2">
        <w:rPr>
          <w:sz w:val="26"/>
          <w:szCs w:val="26"/>
        </w:rPr>
        <w:t xml:space="preserve"> </w:t>
      </w:r>
      <w:proofErr w:type="gramStart"/>
      <w:r w:rsidRPr="00D93BA2">
        <w:rPr>
          <w:sz w:val="26"/>
          <w:szCs w:val="26"/>
        </w:rPr>
        <w:t>(Kết quả kinh doanh năm 2019 đã dương (&gt;0), tăng so với kết quả kinh doanh năm 2018 và kế hoạch năm 2019).</w:t>
      </w:r>
      <w:proofErr w:type="gramEnd"/>
    </w:p>
    <w:p w:rsidR="006E342F" w:rsidRPr="00D93BA2" w:rsidRDefault="006E342F" w:rsidP="00D93BA2">
      <w:pPr>
        <w:spacing w:after="120" w:line="350" w:lineRule="atLeast"/>
        <w:ind w:left="720"/>
        <w:jc w:val="both"/>
        <w:rPr>
          <w:sz w:val="26"/>
          <w:szCs w:val="26"/>
        </w:rPr>
      </w:pPr>
      <w:r w:rsidRPr="00D93BA2">
        <w:rPr>
          <w:sz w:val="26"/>
          <w:szCs w:val="26"/>
        </w:rPr>
        <w:t>Tại báo cáo tài chính hợp nhất, kết quả kinh doanh năm 2019 khả quan hơn năm 2018 là do hoạt động kinh doanh bất động sản của Công ty con (Công ty CP Tứ Hiệp Hồng Hà Dầu khí) có doanh thu do đã hoàn thành, bàn giao đưa vào sử dụng 2 tòa nhà CT12-CT13 thuộc dự án Khu đô thị mới Tứ Hiệp.</w:t>
      </w:r>
    </w:p>
    <w:p w:rsidR="006E342F" w:rsidRPr="00D93BA2" w:rsidRDefault="006E342F" w:rsidP="00D93BA2">
      <w:pPr>
        <w:spacing w:after="120" w:line="350" w:lineRule="atLeast"/>
        <w:ind w:left="720"/>
        <w:jc w:val="both"/>
        <w:rPr>
          <w:sz w:val="26"/>
          <w:szCs w:val="26"/>
        </w:rPr>
      </w:pPr>
      <w:r w:rsidRPr="00D93BA2">
        <w:rPr>
          <w:sz w:val="26"/>
          <w:szCs w:val="26"/>
        </w:rPr>
        <w:t xml:space="preserve">Tuy nhiên, việc xác định vào kết quả kinh doanh (trên báo cáo tài chính Công ty Mẹ) các khoản công nợ không phải thanh toán và các khoản không có khả năng thu hồi được đánh giá là mang </w:t>
      </w:r>
      <w:r w:rsidR="00EB1B8B" w:rsidRPr="00D93BA2">
        <w:rPr>
          <w:sz w:val="26"/>
          <w:szCs w:val="26"/>
        </w:rPr>
        <w:t>t</w:t>
      </w:r>
      <w:r w:rsidRPr="00D93BA2">
        <w:rPr>
          <w:sz w:val="26"/>
          <w:szCs w:val="26"/>
        </w:rPr>
        <w:t>ính chủ quan, cộng với những tàn dư từ các khoản đầu tư vào Công ty CP Kinh doanh Tổng hợp Việt Lào, các khoản liên quan đến việc đầu tư sang Lào qua việc mua cổ phần của ông Nguyễn Tất Lạc tại Công ty TNHH Chackkaphanh Mining Group (Nay là Công ty TNHH Huatangnin Mining Group) từ các năm trước đã một lần nữa để Công ty TNHH Kiểm toán và Định giá Việt Nam (VEA) từ chối đưa ra ý kiến kiểm toán.</w:t>
      </w:r>
    </w:p>
    <w:p w:rsidR="006E342F" w:rsidRPr="00D93BA2" w:rsidRDefault="006E342F" w:rsidP="00D93BA2">
      <w:pPr>
        <w:spacing w:after="120" w:line="350" w:lineRule="atLeast"/>
        <w:ind w:left="720"/>
        <w:jc w:val="both"/>
        <w:rPr>
          <w:sz w:val="26"/>
          <w:szCs w:val="26"/>
        </w:rPr>
      </w:pPr>
      <w:r w:rsidRPr="00D93BA2">
        <w:rPr>
          <w:sz w:val="26"/>
          <w:szCs w:val="26"/>
        </w:rPr>
        <w:t xml:space="preserve"> </w:t>
      </w:r>
      <w:proofErr w:type="gramStart"/>
      <w:r w:rsidRPr="00D93BA2">
        <w:rPr>
          <w:sz w:val="26"/>
          <w:szCs w:val="26"/>
        </w:rPr>
        <w:t>Như vậy với kết quả kinh doanh này, cổ phiếu của Công ty vẫn thuộc diện bị kiểm soát đặc biệt (Giao dịch hạn chế 1 tuần/1 phiên).</w:t>
      </w:r>
      <w:proofErr w:type="gramEnd"/>
    </w:p>
    <w:p w:rsidR="00496C4C" w:rsidRPr="00D93BA2" w:rsidRDefault="00496C4C" w:rsidP="00CE165C">
      <w:pPr>
        <w:pStyle w:val="ListParagraph"/>
        <w:spacing w:before="360" w:line="330" w:lineRule="atLeast"/>
        <w:jc w:val="both"/>
        <w:rPr>
          <w:b/>
          <w:sz w:val="26"/>
          <w:szCs w:val="26"/>
        </w:rPr>
      </w:pPr>
      <w:proofErr w:type="gramStart"/>
      <w:r w:rsidRPr="00D93BA2">
        <w:rPr>
          <w:b/>
          <w:sz w:val="26"/>
          <w:szCs w:val="26"/>
        </w:rPr>
        <w:t>III/ Kiến nghị và kết luận của Ban kiểm soát.</w:t>
      </w:r>
      <w:proofErr w:type="gramEnd"/>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pacing w:val="-4"/>
          <w:sz w:val="26"/>
          <w:szCs w:val="26"/>
        </w:rPr>
      </w:pPr>
      <w:r w:rsidRPr="00D93BA2">
        <w:rPr>
          <w:spacing w:val="-4"/>
          <w:sz w:val="26"/>
          <w:szCs w:val="26"/>
        </w:rPr>
        <w:t>Các hoạt động của Công ty trong năm 2019 tuân thủ đúng Luật Doanh nghiệp, Điều lệ Công ty, các quy định liên quan và chấp hành đúng Nghị quyết của Đại hội đồng cổ đông và các Nghị quyết của HĐQT.</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pacing w:val="-4"/>
          <w:sz w:val="26"/>
          <w:szCs w:val="26"/>
        </w:rPr>
      </w:pPr>
      <w:r w:rsidRPr="00D93BA2">
        <w:rPr>
          <w:spacing w:val="-4"/>
          <w:sz w:val="26"/>
          <w:szCs w:val="26"/>
        </w:rPr>
        <w:t>Ban kiểm soát nhất trí với báo cáo kết quả hoạt động SXKD năm 2019 và kế hoạch hoạt động sản xuất kinh doanh năm 2020.</w:t>
      </w:r>
    </w:p>
    <w:p w:rsidR="000D59FA" w:rsidRPr="00D93BA2" w:rsidRDefault="000D59FA" w:rsidP="000D59FA">
      <w:pPr>
        <w:spacing w:before="120" w:after="60" w:line="330" w:lineRule="atLeast"/>
        <w:ind w:left="360" w:firstLine="360"/>
        <w:jc w:val="both"/>
        <w:rPr>
          <w:b/>
          <w:sz w:val="26"/>
          <w:szCs w:val="26"/>
        </w:rPr>
      </w:pPr>
      <w:r w:rsidRPr="00D93BA2">
        <w:rPr>
          <w:b/>
          <w:sz w:val="26"/>
          <w:szCs w:val="26"/>
        </w:rPr>
        <w:t xml:space="preserve">Với phạm </w:t>
      </w:r>
      <w:proofErr w:type="gramStart"/>
      <w:r w:rsidRPr="00D93BA2">
        <w:rPr>
          <w:b/>
          <w:sz w:val="26"/>
          <w:szCs w:val="26"/>
        </w:rPr>
        <w:t>vi</w:t>
      </w:r>
      <w:proofErr w:type="gramEnd"/>
      <w:r w:rsidRPr="00D93BA2">
        <w:rPr>
          <w:b/>
          <w:sz w:val="26"/>
          <w:szCs w:val="26"/>
        </w:rPr>
        <w:t xml:space="preserve"> trách nhiệm và quyền hạn của mình, Ban kiểm soát kiến nghị với Ban lãnh đạo Công ty một số ý kiến như sau:</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z w:val="26"/>
          <w:szCs w:val="28"/>
        </w:rPr>
      </w:pPr>
      <w:r w:rsidRPr="00D93BA2">
        <w:rPr>
          <w:sz w:val="26"/>
          <w:szCs w:val="26"/>
        </w:rPr>
        <w:t>Rà soát lại các khoản đầu tư, các khoản góp vốn vào Công ty con, Công ty liên doanh, liên kết một cách thận trọng, có hệ thống để đánh giá đúng mực, khách quan hiệu quả của từng khoản mục, từ đó có những quyết sách đúng đắn, không để tiền vốn bị dàn trải, g</w:t>
      </w:r>
      <w:r w:rsidR="00EB1B8B" w:rsidRPr="00D93BA2">
        <w:rPr>
          <w:sz w:val="26"/>
          <w:szCs w:val="26"/>
        </w:rPr>
        <w:t>ây lãng phí;</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z w:val="26"/>
          <w:szCs w:val="28"/>
        </w:rPr>
      </w:pPr>
      <w:r w:rsidRPr="00D93BA2">
        <w:rPr>
          <w:sz w:val="26"/>
          <w:szCs w:val="26"/>
        </w:rPr>
        <w:t xml:space="preserve">Song song với việc mở rộng sang lĩnh vực đầu tư, kinh doanh bất động sản, cần không ngừng nâng cao chất lượng và uy tín trong hoạt động xây lắp thể hiện vào những công trình đang thực hiện cho Công ty con, </w:t>
      </w:r>
      <w:r w:rsidRPr="00D93BA2">
        <w:rPr>
          <w:sz w:val="26"/>
          <w:szCs w:val="28"/>
        </w:rPr>
        <w:t>nâng cao năng lực điều hành thi công xây lắp, đảm bảo chất lượng và tiến độ công trình (Tránh những chi phí phát sinh sau khi bàn giao như chi phí bảo hành, bảo trì công trình). Bên cạnh các công trình nội tại, cần tích cực tìm kiếm các công trình mới để tận dụng đội ngũ kỹ sư xây dựng, cán bộ nhân viên hiện hữu có bề dày kinh nghiệm trong lĩnh vực quản lý, thi công xây lắp, tạo việc làm, tăng sản lượng cho Công ty và ổn đ</w:t>
      </w:r>
      <w:r w:rsidR="00EB1B8B" w:rsidRPr="00D93BA2">
        <w:rPr>
          <w:sz w:val="26"/>
          <w:szCs w:val="28"/>
        </w:rPr>
        <w:t>ịnh thu nhập cho người lao động;</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z w:val="26"/>
          <w:szCs w:val="26"/>
        </w:rPr>
      </w:pPr>
      <w:r w:rsidRPr="00D93BA2">
        <w:rPr>
          <w:sz w:val="26"/>
          <w:szCs w:val="26"/>
        </w:rPr>
        <w:lastRenderedPageBreak/>
        <w:t>Đẩy mạnh hơn nữa công tác thanh quyết toán khối lượng xây lắp và thu hồi công nợ với các công trình đang thực hiện, công tác tín dụng tại các ngân hàng (đặc biệt là các yêu cầu khắt khe của Ngân hàng về điều kiện phê duyệt hạn mức cho vay và điều kiện giải ngân) nhằm đảm bảo nguồ</w:t>
      </w:r>
      <w:r w:rsidR="00EB1B8B" w:rsidRPr="00D93BA2">
        <w:rPr>
          <w:sz w:val="26"/>
          <w:szCs w:val="26"/>
        </w:rPr>
        <w:t>n tài chính ổn định cho công ty;</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z w:val="26"/>
          <w:szCs w:val="26"/>
        </w:rPr>
      </w:pPr>
      <w:r w:rsidRPr="00D93BA2">
        <w:rPr>
          <w:sz w:val="26"/>
          <w:szCs w:val="26"/>
        </w:rPr>
        <w:t xml:space="preserve">Chú trọng vào công tác tổ chức cán bộ, đào tạo đội </w:t>
      </w:r>
      <w:proofErr w:type="gramStart"/>
      <w:r w:rsidRPr="00D93BA2">
        <w:rPr>
          <w:sz w:val="26"/>
          <w:szCs w:val="26"/>
        </w:rPr>
        <w:t>ngũ</w:t>
      </w:r>
      <w:proofErr w:type="gramEnd"/>
      <w:r w:rsidRPr="00D93BA2">
        <w:rPr>
          <w:sz w:val="26"/>
          <w:szCs w:val="26"/>
        </w:rPr>
        <w:t xml:space="preserve"> kế cận và trẻ hóa nguồn nhân lực của Công ty, phân cấp quản lý và giao trách nhiệm được tự chủ, tự chịu trách nhiệm. Ban Điều hành tránh ôm đồm việc dẫn đến thiếu thời gian để nắm bắt và xử lý công việc, gây bị động và chậm trễ trong hoạt động điều hành và hoạt động kinh doanh của Công ty</w:t>
      </w:r>
      <w:r w:rsidR="00EB1B8B" w:rsidRPr="00D93BA2">
        <w:rPr>
          <w:sz w:val="26"/>
          <w:szCs w:val="26"/>
        </w:rPr>
        <w:t>;</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z w:val="26"/>
          <w:szCs w:val="26"/>
        </w:rPr>
      </w:pPr>
      <w:r w:rsidRPr="00D93BA2">
        <w:rPr>
          <w:sz w:val="26"/>
          <w:szCs w:val="26"/>
        </w:rPr>
        <w:t xml:space="preserve">Bám sát chặt chẽ trình tự và thủ tục pháp lý của các dự án đang thực hiện dở </w:t>
      </w:r>
      <w:proofErr w:type="gramStart"/>
      <w:r w:rsidRPr="00D93BA2">
        <w:rPr>
          <w:sz w:val="26"/>
          <w:szCs w:val="26"/>
        </w:rPr>
        <w:t>dang  (</w:t>
      </w:r>
      <w:proofErr w:type="gramEnd"/>
      <w:r w:rsidRPr="00D93BA2">
        <w:rPr>
          <w:sz w:val="26"/>
          <w:szCs w:val="26"/>
        </w:rPr>
        <w:t>DA 407 Nguyễn An Ninh, các tiểu DA còn lại của Khu đô thị mới Tứ Hiệp…). Đồng thời với các dự án mới, cần đánh giá thận trọng trước khi chính thức đầu tư, hợp tác kinh doanh nhằm giảm thiểu rủi ro và đem lại hiệu quả s</w:t>
      </w:r>
      <w:r w:rsidR="00EB1B8B" w:rsidRPr="00D93BA2">
        <w:rPr>
          <w:sz w:val="26"/>
          <w:szCs w:val="26"/>
        </w:rPr>
        <w:t>ử dụng vốn một cách tối ưu nhất;</w:t>
      </w:r>
    </w:p>
    <w:p w:rsidR="000D59FA" w:rsidRPr="00D93BA2" w:rsidRDefault="000D59FA" w:rsidP="000D59FA">
      <w:pPr>
        <w:pStyle w:val="ListParagraph"/>
        <w:numPr>
          <w:ilvl w:val="0"/>
          <w:numId w:val="15"/>
        </w:numPr>
        <w:tabs>
          <w:tab w:val="clear" w:pos="720"/>
          <w:tab w:val="num" w:pos="1134"/>
        </w:tabs>
        <w:spacing w:before="120" w:after="120" w:line="320" w:lineRule="atLeast"/>
        <w:ind w:left="1134" w:hanging="425"/>
        <w:jc w:val="both"/>
        <w:rPr>
          <w:sz w:val="26"/>
          <w:szCs w:val="26"/>
        </w:rPr>
      </w:pPr>
      <w:r w:rsidRPr="00D93BA2">
        <w:rPr>
          <w:sz w:val="26"/>
          <w:szCs w:val="26"/>
        </w:rPr>
        <w:t>Nâng cao chất lượng phục vụ các dịch vụ sau bán hàng, đặc biệt là công tác bảo hành và quản lý tại các tòa nhà đã bàn giao, nâng cao uy tín và vị thế về một Công ty kinh doanh xây lắp và bất động sản tốt trên thị trường.</w:t>
      </w:r>
    </w:p>
    <w:p w:rsidR="000D59FA" w:rsidRPr="00D93BA2" w:rsidRDefault="000D59FA" w:rsidP="000D59FA">
      <w:pPr>
        <w:pStyle w:val="ListParagraph"/>
        <w:spacing w:after="120" w:line="320" w:lineRule="atLeast"/>
        <w:jc w:val="both"/>
        <w:rPr>
          <w:b/>
          <w:spacing w:val="-2"/>
          <w:sz w:val="26"/>
          <w:szCs w:val="26"/>
        </w:rPr>
      </w:pPr>
      <w:r w:rsidRPr="00D93BA2">
        <w:rPr>
          <w:b/>
          <w:spacing w:val="-2"/>
          <w:sz w:val="26"/>
          <w:szCs w:val="26"/>
        </w:rPr>
        <w:t>Kính thưa Đại hội!</w:t>
      </w:r>
    </w:p>
    <w:p w:rsidR="000D59FA" w:rsidRPr="00D93BA2" w:rsidRDefault="000D59FA" w:rsidP="000D59FA">
      <w:pPr>
        <w:pStyle w:val="ListParagraph"/>
        <w:spacing w:after="120" w:line="320" w:lineRule="atLeast"/>
        <w:jc w:val="both"/>
        <w:rPr>
          <w:spacing w:val="-2"/>
          <w:sz w:val="26"/>
          <w:szCs w:val="26"/>
        </w:rPr>
      </w:pPr>
      <w:proofErr w:type="gramStart"/>
      <w:r w:rsidRPr="00D93BA2">
        <w:rPr>
          <w:spacing w:val="-2"/>
          <w:sz w:val="26"/>
          <w:szCs w:val="26"/>
        </w:rPr>
        <w:t>Trên đây là báo cáo của BKS năm 2019, kính trình Đại hội xem xét thông qua.</w:t>
      </w:r>
      <w:proofErr w:type="gramEnd"/>
    </w:p>
    <w:p w:rsidR="000D59FA" w:rsidRPr="00D93BA2" w:rsidRDefault="000D59FA" w:rsidP="000D59FA">
      <w:pPr>
        <w:pStyle w:val="ListParagraph"/>
        <w:spacing w:after="120" w:line="320" w:lineRule="atLeast"/>
        <w:jc w:val="both"/>
        <w:rPr>
          <w:spacing w:val="-2"/>
          <w:sz w:val="26"/>
          <w:szCs w:val="26"/>
        </w:rPr>
      </w:pPr>
      <w:r w:rsidRPr="00D93BA2">
        <w:rPr>
          <w:spacing w:val="-2"/>
          <w:sz w:val="26"/>
          <w:szCs w:val="26"/>
        </w:rPr>
        <w:t>Thay mặt BKS, xin cảm ơn quý vị cổ đông đã tin tưởng giao cho chúng tôi nhiệm vụ kiểm soát hoạt động của Công ty trong thời gian vừa qua, cảm ơn HĐQT và Ban điều hành Công ty đã hỗ trợ cho BKS thực hiện hoàn thành nhiệm vụ của mình.</w:t>
      </w:r>
    </w:p>
    <w:p w:rsidR="000D59FA" w:rsidRPr="00D93BA2" w:rsidRDefault="000D59FA" w:rsidP="000D59FA">
      <w:pPr>
        <w:pStyle w:val="ListParagraph"/>
        <w:spacing w:after="120" w:line="320" w:lineRule="atLeast"/>
        <w:jc w:val="both"/>
        <w:rPr>
          <w:b/>
          <w:spacing w:val="-2"/>
          <w:sz w:val="26"/>
          <w:szCs w:val="26"/>
        </w:rPr>
      </w:pPr>
      <w:r w:rsidRPr="00D93BA2">
        <w:rPr>
          <w:b/>
          <w:spacing w:val="-2"/>
          <w:sz w:val="26"/>
          <w:szCs w:val="26"/>
        </w:rPr>
        <w:t>Kính chúc Đại hội thành công tốt đẹp!</w:t>
      </w:r>
    </w:p>
    <w:p w:rsidR="000D59FA" w:rsidRPr="00D93BA2" w:rsidRDefault="000D59FA" w:rsidP="000D59FA">
      <w:pPr>
        <w:ind w:left="5760" w:firstLine="360"/>
        <w:jc w:val="both"/>
        <w:rPr>
          <w:b/>
          <w:sz w:val="26"/>
          <w:szCs w:val="26"/>
          <w:lang w:val="de-DE"/>
        </w:rPr>
      </w:pPr>
      <w:r w:rsidRPr="00D93BA2">
        <w:rPr>
          <w:b/>
          <w:spacing w:val="-2"/>
          <w:sz w:val="26"/>
          <w:szCs w:val="26"/>
        </w:rPr>
        <w:tab/>
      </w:r>
      <w:r w:rsidRPr="00D93BA2">
        <w:rPr>
          <w:b/>
          <w:sz w:val="26"/>
          <w:szCs w:val="26"/>
          <w:lang w:val="de-DE"/>
        </w:rPr>
        <w:t>T/M BAN KIỂM SOÁT</w:t>
      </w:r>
    </w:p>
    <w:p w:rsidR="00015578" w:rsidRPr="00015578" w:rsidRDefault="00015578" w:rsidP="00E37027">
      <w:pPr>
        <w:ind w:left="6120" w:firstLine="720"/>
        <w:jc w:val="both"/>
        <w:rPr>
          <w:b/>
          <w:sz w:val="26"/>
          <w:szCs w:val="26"/>
          <w:lang w:val="de-DE"/>
        </w:rPr>
      </w:pPr>
      <w:r>
        <w:rPr>
          <w:b/>
          <w:sz w:val="26"/>
          <w:szCs w:val="26"/>
          <w:lang w:val="de-DE"/>
        </w:rPr>
        <w:t>Trưởng ban</w:t>
      </w:r>
      <w:bookmarkStart w:id="0" w:name="_GoBack"/>
      <w:bookmarkEnd w:id="0"/>
    </w:p>
    <w:p w:rsidR="000D59FA" w:rsidRDefault="000D59FA" w:rsidP="000D59FA">
      <w:pPr>
        <w:spacing w:after="120"/>
        <w:ind w:left="6480"/>
        <w:jc w:val="both"/>
        <w:rPr>
          <w:b/>
          <w:sz w:val="26"/>
          <w:szCs w:val="26"/>
          <w:lang w:val="de-DE"/>
        </w:rPr>
      </w:pPr>
      <w:r w:rsidRPr="00D93BA2">
        <w:rPr>
          <w:b/>
          <w:sz w:val="26"/>
          <w:szCs w:val="26"/>
          <w:lang w:val="de-DE"/>
        </w:rPr>
        <w:t>Phạm Thị Hải Yến</w:t>
      </w:r>
    </w:p>
    <w:p w:rsidR="00015578" w:rsidRPr="00D93BA2" w:rsidRDefault="00015578" w:rsidP="000D59FA">
      <w:pPr>
        <w:spacing w:after="120"/>
        <w:ind w:left="6480"/>
        <w:jc w:val="both"/>
        <w:rPr>
          <w:b/>
          <w:sz w:val="26"/>
          <w:szCs w:val="26"/>
          <w:lang w:val="de-DE"/>
        </w:rPr>
      </w:pPr>
      <w:r>
        <w:rPr>
          <w:b/>
          <w:sz w:val="26"/>
          <w:szCs w:val="26"/>
          <w:lang w:val="de-DE"/>
        </w:rPr>
        <w:t xml:space="preserve">          (đã ký)</w:t>
      </w:r>
    </w:p>
    <w:p w:rsidR="000D59FA" w:rsidRPr="00D93BA2" w:rsidRDefault="000D59FA" w:rsidP="000D59FA">
      <w:pPr>
        <w:pStyle w:val="ListParagraph"/>
        <w:spacing w:after="120" w:line="320" w:lineRule="atLeast"/>
        <w:jc w:val="both"/>
        <w:rPr>
          <w:b/>
          <w:spacing w:val="-2"/>
          <w:sz w:val="26"/>
          <w:szCs w:val="26"/>
        </w:rPr>
      </w:pPr>
    </w:p>
    <w:p w:rsidR="00496C4C" w:rsidRPr="00D93BA2" w:rsidRDefault="00496C4C" w:rsidP="000D59FA">
      <w:pPr>
        <w:tabs>
          <w:tab w:val="left" w:pos="360"/>
        </w:tabs>
        <w:spacing w:before="120" w:after="120" w:line="330" w:lineRule="atLeast"/>
        <w:ind w:left="360"/>
        <w:jc w:val="both"/>
        <w:rPr>
          <w:b/>
          <w:sz w:val="26"/>
          <w:szCs w:val="26"/>
          <w:lang w:val="de-DE"/>
        </w:rPr>
      </w:pPr>
    </w:p>
    <w:sectPr w:rsidR="00496C4C" w:rsidRPr="00D93BA2" w:rsidSect="00D93BA2">
      <w:footerReference w:type="even" r:id="rId9"/>
      <w:footerReference w:type="default" r:id="rId10"/>
      <w:pgSz w:w="11907" w:h="16840" w:code="9"/>
      <w:pgMar w:top="720" w:right="862" w:bottom="720" w:left="907" w:header="289"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2B" w:rsidRDefault="0003442B">
      <w:r>
        <w:separator/>
      </w:r>
    </w:p>
  </w:endnote>
  <w:endnote w:type="continuationSeparator" w:id="0">
    <w:p w:rsidR="0003442B" w:rsidRDefault="0003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00" w:rsidRDefault="00B64842" w:rsidP="009D3C97">
    <w:pPr>
      <w:pStyle w:val="Footer"/>
      <w:framePr w:wrap="auto" w:vAnchor="text" w:hAnchor="margin" w:xAlign="center" w:y="1"/>
      <w:rPr>
        <w:rStyle w:val="PageNumber"/>
      </w:rPr>
    </w:pPr>
    <w:r>
      <w:rPr>
        <w:rStyle w:val="PageNumber"/>
      </w:rPr>
      <w:fldChar w:fldCharType="begin"/>
    </w:r>
    <w:r w:rsidR="00967500">
      <w:rPr>
        <w:rStyle w:val="PageNumber"/>
      </w:rPr>
      <w:instrText xml:space="preserve">PAGE  </w:instrText>
    </w:r>
    <w:r>
      <w:rPr>
        <w:rStyle w:val="PageNumber"/>
      </w:rPr>
      <w:fldChar w:fldCharType="end"/>
    </w:r>
  </w:p>
  <w:p w:rsidR="00967500" w:rsidRDefault="00967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00" w:rsidRDefault="00B64842" w:rsidP="009D3C97">
    <w:pPr>
      <w:pStyle w:val="Footer"/>
      <w:framePr w:wrap="auto" w:vAnchor="text" w:hAnchor="margin" w:xAlign="center" w:y="1"/>
      <w:rPr>
        <w:rStyle w:val="PageNumber"/>
      </w:rPr>
    </w:pPr>
    <w:r>
      <w:rPr>
        <w:rStyle w:val="PageNumber"/>
      </w:rPr>
      <w:fldChar w:fldCharType="begin"/>
    </w:r>
    <w:r w:rsidR="00967500">
      <w:rPr>
        <w:rStyle w:val="PageNumber"/>
      </w:rPr>
      <w:instrText xml:space="preserve">PAGE  </w:instrText>
    </w:r>
    <w:r>
      <w:rPr>
        <w:rStyle w:val="PageNumber"/>
      </w:rPr>
      <w:fldChar w:fldCharType="separate"/>
    </w:r>
    <w:r w:rsidR="00E37027">
      <w:rPr>
        <w:rStyle w:val="PageNumber"/>
        <w:noProof/>
      </w:rPr>
      <w:t>6</w:t>
    </w:r>
    <w:r>
      <w:rPr>
        <w:rStyle w:val="PageNumber"/>
      </w:rPr>
      <w:fldChar w:fldCharType="end"/>
    </w:r>
  </w:p>
  <w:p w:rsidR="00967500" w:rsidRPr="008834B6" w:rsidRDefault="00967500" w:rsidP="008834B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2B" w:rsidRDefault="0003442B">
      <w:r>
        <w:separator/>
      </w:r>
    </w:p>
  </w:footnote>
  <w:footnote w:type="continuationSeparator" w:id="0">
    <w:p w:rsidR="0003442B" w:rsidRDefault="0003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B7B"/>
    <w:multiLevelType w:val="hybridMultilevel"/>
    <w:tmpl w:val="12C6BB78"/>
    <w:lvl w:ilvl="0" w:tplc="0409000F">
      <w:start w:val="1"/>
      <w:numFmt w:val="decimal"/>
      <w:lvlText w:val="%1."/>
      <w:lvlJc w:val="left"/>
      <w:pPr>
        <w:tabs>
          <w:tab w:val="num" w:pos="720"/>
        </w:tabs>
        <w:ind w:left="720" w:hanging="360"/>
      </w:pPr>
      <w:rPr>
        <w:rFonts w:cs="Times New Roman" w:hint="default"/>
      </w:rPr>
    </w:lvl>
    <w:lvl w:ilvl="1" w:tplc="5AD6474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F585CAF"/>
    <w:multiLevelType w:val="hybridMultilevel"/>
    <w:tmpl w:val="6AC43832"/>
    <w:lvl w:ilvl="0" w:tplc="D340E8F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53E209B"/>
    <w:multiLevelType w:val="hybridMultilevel"/>
    <w:tmpl w:val="AF58536E"/>
    <w:lvl w:ilvl="0" w:tplc="89E48504">
      <w:start w:val="1"/>
      <w:numFmt w:val="decimal"/>
      <w:lvlText w:val="%1."/>
      <w:lvlJc w:val="left"/>
      <w:pPr>
        <w:tabs>
          <w:tab w:val="num" w:pos="454"/>
        </w:tabs>
        <w:ind w:firstLine="680"/>
      </w:pPr>
      <w:rPr>
        <w:rFonts w:cs="Times New Roman" w:hint="default"/>
      </w:rPr>
    </w:lvl>
    <w:lvl w:ilvl="1" w:tplc="0DACE520">
      <w:start w:val="1"/>
      <w:numFmt w:val="lowerLetter"/>
      <w:lvlText w:val="%2."/>
      <w:lvlJc w:val="left"/>
      <w:pPr>
        <w:tabs>
          <w:tab w:val="num" w:pos="1080"/>
        </w:tabs>
        <w:ind w:firstLine="792"/>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931A60"/>
    <w:multiLevelType w:val="multilevel"/>
    <w:tmpl w:val="367226C2"/>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Zero"/>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29A67E28"/>
    <w:multiLevelType w:val="hybridMultilevel"/>
    <w:tmpl w:val="3D22B3BC"/>
    <w:lvl w:ilvl="0" w:tplc="6F069BFC">
      <w:start w:val="1"/>
      <w:numFmt w:val="bullet"/>
      <w:lvlText w:val="-"/>
      <w:lvlJc w:val="left"/>
      <w:pPr>
        <w:tabs>
          <w:tab w:val="num" w:pos="567"/>
        </w:tabs>
        <w:ind w:left="567" w:hanging="397"/>
      </w:pPr>
      <w:rPr>
        <w:rFonts w:ascii="VNI-Times" w:eastAsia="Times New Roman" w:hAnsi="VNI-Times"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B9E06F4"/>
    <w:multiLevelType w:val="hybridMultilevel"/>
    <w:tmpl w:val="E4286D02"/>
    <w:lvl w:ilvl="0" w:tplc="A87ACE0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C783326"/>
    <w:multiLevelType w:val="multilevel"/>
    <w:tmpl w:val="DB4A37B2"/>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2EE841BD"/>
    <w:multiLevelType w:val="hybridMultilevel"/>
    <w:tmpl w:val="9AF2CB64"/>
    <w:lvl w:ilvl="0" w:tplc="3952850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F62975"/>
    <w:multiLevelType w:val="hybridMultilevel"/>
    <w:tmpl w:val="9084A6D4"/>
    <w:lvl w:ilvl="0" w:tplc="BADAC5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36B48"/>
    <w:multiLevelType w:val="hybridMultilevel"/>
    <w:tmpl w:val="BADE7D9A"/>
    <w:lvl w:ilvl="0" w:tplc="1E28438A">
      <w:numFmt w:val="bullet"/>
      <w:lvlText w:val=""/>
      <w:lvlJc w:val="left"/>
      <w:pPr>
        <w:tabs>
          <w:tab w:val="num" w:pos="720"/>
        </w:tabs>
        <w:ind w:left="720" w:hanging="360"/>
      </w:pPr>
      <w:rPr>
        <w:rFonts w:ascii="Symbol" w:eastAsia="Times New Roman" w:hAnsi="Symbol" w:hint="default"/>
      </w:rPr>
    </w:lvl>
    <w:lvl w:ilvl="1" w:tplc="E2020A76">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45D0488"/>
    <w:multiLevelType w:val="hybridMultilevel"/>
    <w:tmpl w:val="86AE5CD2"/>
    <w:lvl w:ilvl="0" w:tplc="A0986A60">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8706F80"/>
    <w:multiLevelType w:val="hybridMultilevel"/>
    <w:tmpl w:val="787A7CD4"/>
    <w:lvl w:ilvl="0" w:tplc="8AFEA95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38F00C98"/>
    <w:multiLevelType w:val="hybridMultilevel"/>
    <w:tmpl w:val="B57E4854"/>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F345C94"/>
    <w:multiLevelType w:val="hybridMultilevel"/>
    <w:tmpl w:val="BA8892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FFE43E4"/>
    <w:multiLevelType w:val="hybridMultilevel"/>
    <w:tmpl w:val="8E827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44CC0D78"/>
    <w:multiLevelType w:val="hybridMultilevel"/>
    <w:tmpl w:val="A97A4988"/>
    <w:lvl w:ilvl="0" w:tplc="EA6A9CD8">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B4EC3"/>
    <w:multiLevelType w:val="hybridMultilevel"/>
    <w:tmpl w:val="A3EABD4C"/>
    <w:lvl w:ilvl="0" w:tplc="3B4A11E4">
      <w:start w:val="1"/>
      <w:numFmt w:val="bullet"/>
      <w:lvlText w:val="+"/>
      <w:lvlJc w:val="left"/>
      <w:pPr>
        <w:ind w:left="1854" w:hanging="360"/>
      </w:pPr>
      <w:rPr>
        <w:rFonts w:ascii="VNI-Times" w:hAnsi="VNI-Time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50EF30C8"/>
    <w:multiLevelType w:val="hybridMultilevel"/>
    <w:tmpl w:val="07025060"/>
    <w:lvl w:ilvl="0" w:tplc="BCA4949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11A11A5"/>
    <w:multiLevelType w:val="hybridMultilevel"/>
    <w:tmpl w:val="28DAB9AC"/>
    <w:lvl w:ilvl="0" w:tplc="EA6A9CD8">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C08BB"/>
    <w:multiLevelType w:val="hybridMultilevel"/>
    <w:tmpl w:val="773836D2"/>
    <w:lvl w:ilvl="0" w:tplc="F21CCB8A">
      <w:start w:val="1"/>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D76D41"/>
    <w:multiLevelType w:val="hybridMultilevel"/>
    <w:tmpl w:val="550E5AD6"/>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1">
    <w:nsid w:val="56EA120B"/>
    <w:multiLevelType w:val="hybridMultilevel"/>
    <w:tmpl w:val="B1CAF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A9A7C52"/>
    <w:multiLevelType w:val="multilevel"/>
    <w:tmpl w:val="3CD0488E"/>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5F3B1779"/>
    <w:multiLevelType w:val="hybridMultilevel"/>
    <w:tmpl w:val="FFD09D14"/>
    <w:lvl w:ilvl="0" w:tplc="0E647E0C">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66423ABA"/>
    <w:multiLevelType w:val="hybridMultilevel"/>
    <w:tmpl w:val="3856980A"/>
    <w:lvl w:ilvl="0" w:tplc="2DB6140A">
      <w:start w:val="1"/>
      <w:numFmt w:val="decimal"/>
      <w:lvlText w:val="%1."/>
      <w:lvlJc w:val="left"/>
      <w:pPr>
        <w:tabs>
          <w:tab w:val="num" w:pos="720"/>
        </w:tabs>
        <w:ind w:left="720" w:hanging="360"/>
      </w:pPr>
      <w:rPr>
        <w:rFonts w:cs="Times New Roman" w:hint="default"/>
      </w:rPr>
    </w:lvl>
    <w:lvl w:ilvl="1" w:tplc="052A95AA">
      <w:numFmt w:val="none"/>
      <w:lvlText w:val=""/>
      <w:lvlJc w:val="left"/>
      <w:pPr>
        <w:tabs>
          <w:tab w:val="num" w:pos="360"/>
        </w:tabs>
      </w:pPr>
      <w:rPr>
        <w:rFonts w:cs="Times New Roman"/>
      </w:rPr>
    </w:lvl>
    <w:lvl w:ilvl="2" w:tplc="1180C7FE">
      <w:numFmt w:val="none"/>
      <w:lvlText w:val=""/>
      <w:lvlJc w:val="left"/>
      <w:pPr>
        <w:tabs>
          <w:tab w:val="num" w:pos="360"/>
        </w:tabs>
      </w:pPr>
      <w:rPr>
        <w:rFonts w:cs="Times New Roman"/>
      </w:rPr>
    </w:lvl>
    <w:lvl w:ilvl="3" w:tplc="EEE0B0F0">
      <w:numFmt w:val="none"/>
      <w:lvlText w:val=""/>
      <w:lvlJc w:val="left"/>
      <w:pPr>
        <w:tabs>
          <w:tab w:val="num" w:pos="360"/>
        </w:tabs>
      </w:pPr>
      <w:rPr>
        <w:rFonts w:cs="Times New Roman"/>
      </w:rPr>
    </w:lvl>
    <w:lvl w:ilvl="4" w:tplc="5AEED512">
      <w:numFmt w:val="none"/>
      <w:lvlText w:val=""/>
      <w:lvlJc w:val="left"/>
      <w:pPr>
        <w:tabs>
          <w:tab w:val="num" w:pos="360"/>
        </w:tabs>
      </w:pPr>
      <w:rPr>
        <w:rFonts w:cs="Times New Roman"/>
      </w:rPr>
    </w:lvl>
    <w:lvl w:ilvl="5" w:tplc="9766ADCE">
      <w:numFmt w:val="none"/>
      <w:lvlText w:val=""/>
      <w:lvlJc w:val="left"/>
      <w:pPr>
        <w:tabs>
          <w:tab w:val="num" w:pos="360"/>
        </w:tabs>
      </w:pPr>
      <w:rPr>
        <w:rFonts w:cs="Times New Roman"/>
      </w:rPr>
    </w:lvl>
    <w:lvl w:ilvl="6" w:tplc="6C7E999C">
      <w:numFmt w:val="none"/>
      <w:lvlText w:val=""/>
      <w:lvlJc w:val="left"/>
      <w:pPr>
        <w:tabs>
          <w:tab w:val="num" w:pos="360"/>
        </w:tabs>
      </w:pPr>
      <w:rPr>
        <w:rFonts w:cs="Times New Roman"/>
      </w:rPr>
    </w:lvl>
    <w:lvl w:ilvl="7" w:tplc="83B05562">
      <w:numFmt w:val="none"/>
      <w:lvlText w:val=""/>
      <w:lvlJc w:val="left"/>
      <w:pPr>
        <w:tabs>
          <w:tab w:val="num" w:pos="360"/>
        </w:tabs>
      </w:pPr>
      <w:rPr>
        <w:rFonts w:cs="Times New Roman"/>
      </w:rPr>
    </w:lvl>
    <w:lvl w:ilvl="8" w:tplc="2CBA6A1E">
      <w:numFmt w:val="none"/>
      <w:lvlText w:val=""/>
      <w:lvlJc w:val="left"/>
      <w:pPr>
        <w:tabs>
          <w:tab w:val="num" w:pos="360"/>
        </w:tabs>
      </w:pPr>
      <w:rPr>
        <w:rFonts w:cs="Times New Roman"/>
      </w:rPr>
    </w:lvl>
  </w:abstractNum>
  <w:abstractNum w:abstractNumId="25">
    <w:nsid w:val="7CE70E49"/>
    <w:multiLevelType w:val="hybridMultilevel"/>
    <w:tmpl w:val="5B18FA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
  </w:num>
  <w:num w:numId="3">
    <w:abstractNumId w:val="12"/>
  </w:num>
  <w:num w:numId="4">
    <w:abstractNumId w:val="24"/>
  </w:num>
  <w:num w:numId="5">
    <w:abstractNumId w:val="17"/>
  </w:num>
  <w:num w:numId="6">
    <w:abstractNumId w:val="5"/>
  </w:num>
  <w:num w:numId="7">
    <w:abstractNumId w:val="10"/>
  </w:num>
  <w:num w:numId="8">
    <w:abstractNumId w:val="1"/>
  </w:num>
  <w:num w:numId="9">
    <w:abstractNumId w:val="3"/>
  </w:num>
  <w:num w:numId="10">
    <w:abstractNumId w:val="6"/>
  </w:num>
  <w:num w:numId="11">
    <w:abstractNumId w:val="13"/>
  </w:num>
  <w:num w:numId="12">
    <w:abstractNumId w:val="22"/>
  </w:num>
  <w:num w:numId="13">
    <w:abstractNumId w:val="4"/>
  </w:num>
  <w:num w:numId="14">
    <w:abstractNumId w:val="0"/>
  </w:num>
  <w:num w:numId="15">
    <w:abstractNumId w:val="19"/>
  </w:num>
  <w:num w:numId="16">
    <w:abstractNumId w:val="14"/>
  </w:num>
  <w:num w:numId="17">
    <w:abstractNumId w:val="25"/>
  </w:num>
  <w:num w:numId="18">
    <w:abstractNumId w:val="23"/>
  </w:num>
  <w:num w:numId="19">
    <w:abstractNumId w:val="21"/>
  </w:num>
  <w:num w:numId="20">
    <w:abstractNumId w:val="11"/>
  </w:num>
  <w:num w:numId="21">
    <w:abstractNumId w:val="20"/>
  </w:num>
  <w:num w:numId="22">
    <w:abstractNumId w:val="15"/>
  </w:num>
  <w:num w:numId="23">
    <w:abstractNumId w:val="8"/>
  </w:num>
  <w:num w:numId="24">
    <w:abstractNumId w:val="18"/>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D8"/>
    <w:rsid w:val="00003CDD"/>
    <w:rsid w:val="00006ED5"/>
    <w:rsid w:val="00011959"/>
    <w:rsid w:val="00015578"/>
    <w:rsid w:val="00016E6F"/>
    <w:rsid w:val="00021176"/>
    <w:rsid w:val="00021C8A"/>
    <w:rsid w:val="00025692"/>
    <w:rsid w:val="00026810"/>
    <w:rsid w:val="00030991"/>
    <w:rsid w:val="0003135A"/>
    <w:rsid w:val="00031504"/>
    <w:rsid w:val="000327EE"/>
    <w:rsid w:val="00033147"/>
    <w:rsid w:val="00033B94"/>
    <w:rsid w:val="0003442B"/>
    <w:rsid w:val="00037B2F"/>
    <w:rsid w:val="000434B0"/>
    <w:rsid w:val="000500D9"/>
    <w:rsid w:val="00050F2D"/>
    <w:rsid w:val="00051D04"/>
    <w:rsid w:val="00052083"/>
    <w:rsid w:val="00052686"/>
    <w:rsid w:val="00052A3A"/>
    <w:rsid w:val="0005394F"/>
    <w:rsid w:val="00053A87"/>
    <w:rsid w:val="000558D2"/>
    <w:rsid w:val="00060052"/>
    <w:rsid w:val="00060B61"/>
    <w:rsid w:val="000715DC"/>
    <w:rsid w:val="000750D5"/>
    <w:rsid w:val="00081077"/>
    <w:rsid w:val="0008561D"/>
    <w:rsid w:val="00087A37"/>
    <w:rsid w:val="000932B9"/>
    <w:rsid w:val="0009421B"/>
    <w:rsid w:val="000A4DAC"/>
    <w:rsid w:val="000B19CE"/>
    <w:rsid w:val="000B3059"/>
    <w:rsid w:val="000B35B2"/>
    <w:rsid w:val="000D1C18"/>
    <w:rsid w:val="000D3C1E"/>
    <w:rsid w:val="000D5341"/>
    <w:rsid w:val="000D5858"/>
    <w:rsid w:val="000D59FA"/>
    <w:rsid w:val="000D5A9B"/>
    <w:rsid w:val="000D6166"/>
    <w:rsid w:val="000D7CC2"/>
    <w:rsid w:val="000E056E"/>
    <w:rsid w:val="000E4677"/>
    <w:rsid w:val="000E4EE3"/>
    <w:rsid w:val="000F14F7"/>
    <w:rsid w:val="000F1EC6"/>
    <w:rsid w:val="000F6DBE"/>
    <w:rsid w:val="000F7C68"/>
    <w:rsid w:val="0010322B"/>
    <w:rsid w:val="00103E70"/>
    <w:rsid w:val="00105FB6"/>
    <w:rsid w:val="001103F9"/>
    <w:rsid w:val="00115BE3"/>
    <w:rsid w:val="00125593"/>
    <w:rsid w:val="0012744B"/>
    <w:rsid w:val="00131861"/>
    <w:rsid w:val="00137EDB"/>
    <w:rsid w:val="00141DAA"/>
    <w:rsid w:val="00143411"/>
    <w:rsid w:val="00147087"/>
    <w:rsid w:val="0014728E"/>
    <w:rsid w:val="00150BB1"/>
    <w:rsid w:val="001521E7"/>
    <w:rsid w:val="00157827"/>
    <w:rsid w:val="00167E19"/>
    <w:rsid w:val="001734B7"/>
    <w:rsid w:val="0017739F"/>
    <w:rsid w:val="001773C7"/>
    <w:rsid w:val="00177D5C"/>
    <w:rsid w:val="00177DEC"/>
    <w:rsid w:val="001810AC"/>
    <w:rsid w:val="0018280F"/>
    <w:rsid w:val="00183042"/>
    <w:rsid w:val="0018538D"/>
    <w:rsid w:val="00187727"/>
    <w:rsid w:val="001953A2"/>
    <w:rsid w:val="001953BC"/>
    <w:rsid w:val="00196AAF"/>
    <w:rsid w:val="001A49BE"/>
    <w:rsid w:val="001B0868"/>
    <w:rsid w:val="001B553C"/>
    <w:rsid w:val="001B6441"/>
    <w:rsid w:val="001B7ED3"/>
    <w:rsid w:val="001C01DC"/>
    <w:rsid w:val="001C38BD"/>
    <w:rsid w:val="001C567D"/>
    <w:rsid w:val="001C69E7"/>
    <w:rsid w:val="001D0741"/>
    <w:rsid w:val="001D11A5"/>
    <w:rsid w:val="001D1D3A"/>
    <w:rsid w:val="001D338E"/>
    <w:rsid w:val="001D495B"/>
    <w:rsid w:val="001D50E3"/>
    <w:rsid w:val="001D543D"/>
    <w:rsid w:val="001E03C4"/>
    <w:rsid w:val="001E2F11"/>
    <w:rsid w:val="001E58DC"/>
    <w:rsid w:val="001F1C38"/>
    <w:rsid w:val="001F3E80"/>
    <w:rsid w:val="001F78BD"/>
    <w:rsid w:val="00206D66"/>
    <w:rsid w:val="002122DF"/>
    <w:rsid w:val="0021349D"/>
    <w:rsid w:val="00215171"/>
    <w:rsid w:val="0021654B"/>
    <w:rsid w:val="00216BE3"/>
    <w:rsid w:val="0022050A"/>
    <w:rsid w:val="00223F58"/>
    <w:rsid w:val="00225534"/>
    <w:rsid w:val="002307A8"/>
    <w:rsid w:val="00233F50"/>
    <w:rsid w:val="00236C05"/>
    <w:rsid w:val="00237535"/>
    <w:rsid w:val="002404DC"/>
    <w:rsid w:val="00240535"/>
    <w:rsid w:val="002478B9"/>
    <w:rsid w:val="00250816"/>
    <w:rsid w:val="00250E41"/>
    <w:rsid w:val="00251E87"/>
    <w:rsid w:val="00256869"/>
    <w:rsid w:val="00265025"/>
    <w:rsid w:val="00272F4D"/>
    <w:rsid w:val="00272F77"/>
    <w:rsid w:val="00275CAB"/>
    <w:rsid w:val="00275D58"/>
    <w:rsid w:val="00281CE1"/>
    <w:rsid w:val="00284B98"/>
    <w:rsid w:val="0028680A"/>
    <w:rsid w:val="00291592"/>
    <w:rsid w:val="00293848"/>
    <w:rsid w:val="00295014"/>
    <w:rsid w:val="00295596"/>
    <w:rsid w:val="002A141F"/>
    <w:rsid w:val="002A45DF"/>
    <w:rsid w:val="002A762A"/>
    <w:rsid w:val="002B1CC6"/>
    <w:rsid w:val="002C09E5"/>
    <w:rsid w:val="002C1C89"/>
    <w:rsid w:val="002C39FC"/>
    <w:rsid w:val="002C3DF5"/>
    <w:rsid w:val="002C5F6A"/>
    <w:rsid w:val="002D21AA"/>
    <w:rsid w:val="002D473C"/>
    <w:rsid w:val="002D48E6"/>
    <w:rsid w:val="002D5978"/>
    <w:rsid w:val="002D680D"/>
    <w:rsid w:val="002D70EA"/>
    <w:rsid w:val="002E05DD"/>
    <w:rsid w:val="002E0918"/>
    <w:rsid w:val="002E1FEE"/>
    <w:rsid w:val="002E2014"/>
    <w:rsid w:val="002E3F3B"/>
    <w:rsid w:val="002E6260"/>
    <w:rsid w:val="002F148B"/>
    <w:rsid w:val="002F3C1D"/>
    <w:rsid w:val="00300EF4"/>
    <w:rsid w:val="0030326C"/>
    <w:rsid w:val="0030484A"/>
    <w:rsid w:val="00306485"/>
    <w:rsid w:val="00312FA8"/>
    <w:rsid w:val="00317E90"/>
    <w:rsid w:val="003237C0"/>
    <w:rsid w:val="00325D29"/>
    <w:rsid w:val="00326E16"/>
    <w:rsid w:val="0033427B"/>
    <w:rsid w:val="0033661A"/>
    <w:rsid w:val="003404DC"/>
    <w:rsid w:val="00341663"/>
    <w:rsid w:val="003423CD"/>
    <w:rsid w:val="00343438"/>
    <w:rsid w:val="003478C3"/>
    <w:rsid w:val="00347F36"/>
    <w:rsid w:val="0035291B"/>
    <w:rsid w:val="0035749D"/>
    <w:rsid w:val="00360FF8"/>
    <w:rsid w:val="003638E5"/>
    <w:rsid w:val="00366E7C"/>
    <w:rsid w:val="00372230"/>
    <w:rsid w:val="00372D5D"/>
    <w:rsid w:val="00383D5F"/>
    <w:rsid w:val="0038540A"/>
    <w:rsid w:val="00386DD3"/>
    <w:rsid w:val="00394AE7"/>
    <w:rsid w:val="003B1D8E"/>
    <w:rsid w:val="003B2BDB"/>
    <w:rsid w:val="003B3761"/>
    <w:rsid w:val="003B40BA"/>
    <w:rsid w:val="003B7421"/>
    <w:rsid w:val="003B7F10"/>
    <w:rsid w:val="003C145B"/>
    <w:rsid w:val="003C5FCE"/>
    <w:rsid w:val="003C7748"/>
    <w:rsid w:val="003D1CC6"/>
    <w:rsid w:val="003D3949"/>
    <w:rsid w:val="003D5DF8"/>
    <w:rsid w:val="003E276D"/>
    <w:rsid w:val="003E4012"/>
    <w:rsid w:val="003E7DBA"/>
    <w:rsid w:val="003F32D1"/>
    <w:rsid w:val="003F3AED"/>
    <w:rsid w:val="003F771E"/>
    <w:rsid w:val="003F7831"/>
    <w:rsid w:val="00400C9E"/>
    <w:rsid w:val="004029A2"/>
    <w:rsid w:val="00402C7C"/>
    <w:rsid w:val="0040399D"/>
    <w:rsid w:val="00404A57"/>
    <w:rsid w:val="00407DFF"/>
    <w:rsid w:val="004164F3"/>
    <w:rsid w:val="00416F65"/>
    <w:rsid w:val="00416F66"/>
    <w:rsid w:val="00420C38"/>
    <w:rsid w:val="00422A51"/>
    <w:rsid w:val="0042446B"/>
    <w:rsid w:val="00424738"/>
    <w:rsid w:val="004247E9"/>
    <w:rsid w:val="00424F20"/>
    <w:rsid w:val="00430CC6"/>
    <w:rsid w:val="004329BA"/>
    <w:rsid w:val="00434D98"/>
    <w:rsid w:val="004374FF"/>
    <w:rsid w:val="0044056F"/>
    <w:rsid w:val="00440C9B"/>
    <w:rsid w:val="00441AC2"/>
    <w:rsid w:val="00441C9B"/>
    <w:rsid w:val="00443CB7"/>
    <w:rsid w:val="004455CC"/>
    <w:rsid w:val="0045320C"/>
    <w:rsid w:val="00453A86"/>
    <w:rsid w:val="00460923"/>
    <w:rsid w:val="004630D6"/>
    <w:rsid w:val="00467D4B"/>
    <w:rsid w:val="00472C87"/>
    <w:rsid w:val="00476C54"/>
    <w:rsid w:val="004804B1"/>
    <w:rsid w:val="00484EDD"/>
    <w:rsid w:val="00485F9C"/>
    <w:rsid w:val="00485FA6"/>
    <w:rsid w:val="00492456"/>
    <w:rsid w:val="004926D7"/>
    <w:rsid w:val="00496C4C"/>
    <w:rsid w:val="004A2100"/>
    <w:rsid w:val="004A2F4D"/>
    <w:rsid w:val="004A371F"/>
    <w:rsid w:val="004A3834"/>
    <w:rsid w:val="004A4169"/>
    <w:rsid w:val="004A4B4E"/>
    <w:rsid w:val="004B1A8F"/>
    <w:rsid w:val="004B41D0"/>
    <w:rsid w:val="004B4BAE"/>
    <w:rsid w:val="004B71BB"/>
    <w:rsid w:val="004C09E8"/>
    <w:rsid w:val="004D0E3B"/>
    <w:rsid w:val="004D4580"/>
    <w:rsid w:val="004D5588"/>
    <w:rsid w:val="004D6E9C"/>
    <w:rsid w:val="004E0344"/>
    <w:rsid w:val="004E1C7C"/>
    <w:rsid w:val="004E3549"/>
    <w:rsid w:val="004E36F0"/>
    <w:rsid w:val="004E5F63"/>
    <w:rsid w:val="004F1910"/>
    <w:rsid w:val="004F3369"/>
    <w:rsid w:val="004F3420"/>
    <w:rsid w:val="004F352E"/>
    <w:rsid w:val="005003EA"/>
    <w:rsid w:val="00503FEC"/>
    <w:rsid w:val="00505B8A"/>
    <w:rsid w:val="0051016C"/>
    <w:rsid w:val="005101B8"/>
    <w:rsid w:val="00511ED3"/>
    <w:rsid w:val="00512C9E"/>
    <w:rsid w:val="005218B0"/>
    <w:rsid w:val="00524E69"/>
    <w:rsid w:val="00526045"/>
    <w:rsid w:val="00532186"/>
    <w:rsid w:val="00533F29"/>
    <w:rsid w:val="0053460E"/>
    <w:rsid w:val="00535DAA"/>
    <w:rsid w:val="00535F50"/>
    <w:rsid w:val="0054136B"/>
    <w:rsid w:val="005417E9"/>
    <w:rsid w:val="005424F0"/>
    <w:rsid w:val="00542A7B"/>
    <w:rsid w:val="005452BE"/>
    <w:rsid w:val="00555179"/>
    <w:rsid w:val="0055619A"/>
    <w:rsid w:val="00560127"/>
    <w:rsid w:val="00560637"/>
    <w:rsid w:val="005621FB"/>
    <w:rsid w:val="0056347D"/>
    <w:rsid w:val="005644F9"/>
    <w:rsid w:val="00564995"/>
    <w:rsid w:val="0056535D"/>
    <w:rsid w:val="005674C0"/>
    <w:rsid w:val="00570216"/>
    <w:rsid w:val="005707C1"/>
    <w:rsid w:val="00574555"/>
    <w:rsid w:val="0057623D"/>
    <w:rsid w:val="0057636D"/>
    <w:rsid w:val="00576CE2"/>
    <w:rsid w:val="005804A4"/>
    <w:rsid w:val="00580C24"/>
    <w:rsid w:val="005850BA"/>
    <w:rsid w:val="00585A30"/>
    <w:rsid w:val="005920D6"/>
    <w:rsid w:val="005924FA"/>
    <w:rsid w:val="0059345B"/>
    <w:rsid w:val="0059797B"/>
    <w:rsid w:val="005A1349"/>
    <w:rsid w:val="005A575C"/>
    <w:rsid w:val="005B1934"/>
    <w:rsid w:val="005B229F"/>
    <w:rsid w:val="005C0AB9"/>
    <w:rsid w:val="005C1012"/>
    <w:rsid w:val="005C3F24"/>
    <w:rsid w:val="005C43A0"/>
    <w:rsid w:val="005C54B5"/>
    <w:rsid w:val="005C6633"/>
    <w:rsid w:val="005D05EF"/>
    <w:rsid w:val="005D54EE"/>
    <w:rsid w:val="005D6335"/>
    <w:rsid w:val="005E0D59"/>
    <w:rsid w:val="005E10E6"/>
    <w:rsid w:val="005E14B8"/>
    <w:rsid w:val="005E433F"/>
    <w:rsid w:val="005E562E"/>
    <w:rsid w:val="005E5776"/>
    <w:rsid w:val="005F119A"/>
    <w:rsid w:val="005F1F65"/>
    <w:rsid w:val="005F29DE"/>
    <w:rsid w:val="005F3BE3"/>
    <w:rsid w:val="00601ED1"/>
    <w:rsid w:val="006035C3"/>
    <w:rsid w:val="00605C28"/>
    <w:rsid w:val="006071F0"/>
    <w:rsid w:val="006117E9"/>
    <w:rsid w:val="00612705"/>
    <w:rsid w:val="0061352E"/>
    <w:rsid w:val="00617BE7"/>
    <w:rsid w:val="00625EC0"/>
    <w:rsid w:val="00634409"/>
    <w:rsid w:val="00635704"/>
    <w:rsid w:val="0063675F"/>
    <w:rsid w:val="006372C9"/>
    <w:rsid w:val="00643BA7"/>
    <w:rsid w:val="00650033"/>
    <w:rsid w:val="006502A0"/>
    <w:rsid w:val="006502ED"/>
    <w:rsid w:val="00656E80"/>
    <w:rsid w:val="00660B32"/>
    <w:rsid w:val="006635EE"/>
    <w:rsid w:val="00670610"/>
    <w:rsid w:val="00680271"/>
    <w:rsid w:val="00680F7F"/>
    <w:rsid w:val="00683DCD"/>
    <w:rsid w:val="00684E0F"/>
    <w:rsid w:val="00696E09"/>
    <w:rsid w:val="006A5848"/>
    <w:rsid w:val="006A6E99"/>
    <w:rsid w:val="006A728F"/>
    <w:rsid w:val="006B3DDD"/>
    <w:rsid w:val="006B5A0B"/>
    <w:rsid w:val="006B6101"/>
    <w:rsid w:val="006C26A1"/>
    <w:rsid w:val="006D03EA"/>
    <w:rsid w:val="006D1C5E"/>
    <w:rsid w:val="006D36F9"/>
    <w:rsid w:val="006D6DD4"/>
    <w:rsid w:val="006E0335"/>
    <w:rsid w:val="006E0B8F"/>
    <w:rsid w:val="006E30BF"/>
    <w:rsid w:val="006E342F"/>
    <w:rsid w:val="006E6525"/>
    <w:rsid w:val="006F40CE"/>
    <w:rsid w:val="006F7BBC"/>
    <w:rsid w:val="0070215E"/>
    <w:rsid w:val="00702A29"/>
    <w:rsid w:val="007058FF"/>
    <w:rsid w:val="00705F2C"/>
    <w:rsid w:val="00721453"/>
    <w:rsid w:val="007219CB"/>
    <w:rsid w:val="007232EB"/>
    <w:rsid w:val="00725CF2"/>
    <w:rsid w:val="007325A9"/>
    <w:rsid w:val="00735954"/>
    <w:rsid w:val="00737D0B"/>
    <w:rsid w:val="0074009E"/>
    <w:rsid w:val="007409D0"/>
    <w:rsid w:val="00740CF7"/>
    <w:rsid w:val="00741136"/>
    <w:rsid w:val="00742350"/>
    <w:rsid w:val="007436AB"/>
    <w:rsid w:val="00746FD1"/>
    <w:rsid w:val="007473CB"/>
    <w:rsid w:val="007525B3"/>
    <w:rsid w:val="007539F9"/>
    <w:rsid w:val="00755165"/>
    <w:rsid w:val="007576F2"/>
    <w:rsid w:val="007614EF"/>
    <w:rsid w:val="007631FD"/>
    <w:rsid w:val="00770ADA"/>
    <w:rsid w:val="00771D22"/>
    <w:rsid w:val="00776F5C"/>
    <w:rsid w:val="0077710A"/>
    <w:rsid w:val="007813CB"/>
    <w:rsid w:val="00786CDC"/>
    <w:rsid w:val="00786EA7"/>
    <w:rsid w:val="007902EC"/>
    <w:rsid w:val="0079193F"/>
    <w:rsid w:val="00791F86"/>
    <w:rsid w:val="00797AEE"/>
    <w:rsid w:val="007A036A"/>
    <w:rsid w:val="007A0D08"/>
    <w:rsid w:val="007A11F8"/>
    <w:rsid w:val="007A5617"/>
    <w:rsid w:val="007B716A"/>
    <w:rsid w:val="007C07B4"/>
    <w:rsid w:val="007C0AFB"/>
    <w:rsid w:val="007C1043"/>
    <w:rsid w:val="007C2FF6"/>
    <w:rsid w:val="007C598D"/>
    <w:rsid w:val="007C6733"/>
    <w:rsid w:val="007C74D3"/>
    <w:rsid w:val="007C7A3B"/>
    <w:rsid w:val="007F7483"/>
    <w:rsid w:val="007F7BEB"/>
    <w:rsid w:val="00804261"/>
    <w:rsid w:val="00805831"/>
    <w:rsid w:val="00805BD3"/>
    <w:rsid w:val="00807DA3"/>
    <w:rsid w:val="00812E0F"/>
    <w:rsid w:val="00813D13"/>
    <w:rsid w:val="0082374F"/>
    <w:rsid w:val="00826BB9"/>
    <w:rsid w:val="00830ABF"/>
    <w:rsid w:val="00830CD8"/>
    <w:rsid w:val="00830DEA"/>
    <w:rsid w:val="008342FA"/>
    <w:rsid w:val="00834AD3"/>
    <w:rsid w:val="00836D96"/>
    <w:rsid w:val="008372B3"/>
    <w:rsid w:val="00837973"/>
    <w:rsid w:val="008449B4"/>
    <w:rsid w:val="00846B7B"/>
    <w:rsid w:val="00852A25"/>
    <w:rsid w:val="00863E7D"/>
    <w:rsid w:val="0086456E"/>
    <w:rsid w:val="00881672"/>
    <w:rsid w:val="008827FB"/>
    <w:rsid w:val="008834B6"/>
    <w:rsid w:val="00883AB5"/>
    <w:rsid w:val="00885C62"/>
    <w:rsid w:val="0088737D"/>
    <w:rsid w:val="0088743F"/>
    <w:rsid w:val="00890120"/>
    <w:rsid w:val="00894E53"/>
    <w:rsid w:val="008A086E"/>
    <w:rsid w:val="008A1303"/>
    <w:rsid w:val="008A27FA"/>
    <w:rsid w:val="008A4435"/>
    <w:rsid w:val="008A4D33"/>
    <w:rsid w:val="008A55BB"/>
    <w:rsid w:val="008A60E2"/>
    <w:rsid w:val="008A7AEA"/>
    <w:rsid w:val="008B4689"/>
    <w:rsid w:val="008B5809"/>
    <w:rsid w:val="008C0602"/>
    <w:rsid w:val="008C0D42"/>
    <w:rsid w:val="008C3AE2"/>
    <w:rsid w:val="008D267F"/>
    <w:rsid w:val="008D3512"/>
    <w:rsid w:val="008D6D72"/>
    <w:rsid w:val="008E2983"/>
    <w:rsid w:val="008E2CEC"/>
    <w:rsid w:val="008E2E11"/>
    <w:rsid w:val="008E34C2"/>
    <w:rsid w:val="008E5144"/>
    <w:rsid w:val="008E5E35"/>
    <w:rsid w:val="008E7595"/>
    <w:rsid w:val="008F089E"/>
    <w:rsid w:val="008F2A41"/>
    <w:rsid w:val="00902CCC"/>
    <w:rsid w:val="009079D7"/>
    <w:rsid w:val="009156E3"/>
    <w:rsid w:val="00916DBE"/>
    <w:rsid w:val="00922A30"/>
    <w:rsid w:val="0092552B"/>
    <w:rsid w:val="0092591F"/>
    <w:rsid w:val="009259DE"/>
    <w:rsid w:val="009269C1"/>
    <w:rsid w:val="00926AF8"/>
    <w:rsid w:val="00926C3D"/>
    <w:rsid w:val="009347FB"/>
    <w:rsid w:val="00941843"/>
    <w:rsid w:val="00941D44"/>
    <w:rsid w:val="00941EFD"/>
    <w:rsid w:val="00943767"/>
    <w:rsid w:val="00951BB8"/>
    <w:rsid w:val="00955750"/>
    <w:rsid w:val="00955FCC"/>
    <w:rsid w:val="00956523"/>
    <w:rsid w:val="00961371"/>
    <w:rsid w:val="00963C62"/>
    <w:rsid w:val="00965B94"/>
    <w:rsid w:val="00967500"/>
    <w:rsid w:val="0097147C"/>
    <w:rsid w:val="009727AB"/>
    <w:rsid w:val="00976B7E"/>
    <w:rsid w:val="00977ED8"/>
    <w:rsid w:val="009842D6"/>
    <w:rsid w:val="00986C11"/>
    <w:rsid w:val="00987999"/>
    <w:rsid w:val="009A0831"/>
    <w:rsid w:val="009A0D9C"/>
    <w:rsid w:val="009A26C1"/>
    <w:rsid w:val="009A6A0D"/>
    <w:rsid w:val="009B0532"/>
    <w:rsid w:val="009B5F12"/>
    <w:rsid w:val="009B7DC5"/>
    <w:rsid w:val="009C03BA"/>
    <w:rsid w:val="009C0A3F"/>
    <w:rsid w:val="009C1371"/>
    <w:rsid w:val="009C66B7"/>
    <w:rsid w:val="009D01C9"/>
    <w:rsid w:val="009D12C7"/>
    <w:rsid w:val="009D2AB6"/>
    <w:rsid w:val="009D3C97"/>
    <w:rsid w:val="009E26A6"/>
    <w:rsid w:val="009E315E"/>
    <w:rsid w:val="009E663F"/>
    <w:rsid w:val="009F0DF6"/>
    <w:rsid w:val="009F18A8"/>
    <w:rsid w:val="009F25F9"/>
    <w:rsid w:val="009F5366"/>
    <w:rsid w:val="009F5BE3"/>
    <w:rsid w:val="009F6799"/>
    <w:rsid w:val="009F6B37"/>
    <w:rsid w:val="009F6FB9"/>
    <w:rsid w:val="00A008C0"/>
    <w:rsid w:val="00A013DF"/>
    <w:rsid w:val="00A03D96"/>
    <w:rsid w:val="00A060D4"/>
    <w:rsid w:val="00A06E8A"/>
    <w:rsid w:val="00A1377E"/>
    <w:rsid w:val="00A21B64"/>
    <w:rsid w:val="00A24C1F"/>
    <w:rsid w:val="00A25942"/>
    <w:rsid w:val="00A3293F"/>
    <w:rsid w:val="00A33E31"/>
    <w:rsid w:val="00A34CDC"/>
    <w:rsid w:val="00A35A8C"/>
    <w:rsid w:val="00A37CC7"/>
    <w:rsid w:val="00A4425A"/>
    <w:rsid w:val="00A4528E"/>
    <w:rsid w:val="00A458EB"/>
    <w:rsid w:val="00A466DF"/>
    <w:rsid w:val="00A471EF"/>
    <w:rsid w:val="00A47F90"/>
    <w:rsid w:val="00A54A79"/>
    <w:rsid w:val="00A577B6"/>
    <w:rsid w:val="00A6185D"/>
    <w:rsid w:val="00A62A7B"/>
    <w:rsid w:val="00A630F4"/>
    <w:rsid w:val="00A64144"/>
    <w:rsid w:val="00A67DAF"/>
    <w:rsid w:val="00A80261"/>
    <w:rsid w:val="00A80A80"/>
    <w:rsid w:val="00A81530"/>
    <w:rsid w:val="00A8268E"/>
    <w:rsid w:val="00A83423"/>
    <w:rsid w:val="00A84D22"/>
    <w:rsid w:val="00A86A72"/>
    <w:rsid w:val="00A87AAB"/>
    <w:rsid w:val="00A87D5D"/>
    <w:rsid w:val="00A90114"/>
    <w:rsid w:val="00A93716"/>
    <w:rsid w:val="00A93F09"/>
    <w:rsid w:val="00AA09AF"/>
    <w:rsid w:val="00AA2A47"/>
    <w:rsid w:val="00AA6C3D"/>
    <w:rsid w:val="00AB0B87"/>
    <w:rsid w:val="00AB2D00"/>
    <w:rsid w:val="00AB3125"/>
    <w:rsid w:val="00AB5102"/>
    <w:rsid w:val="00AB78A9"/>
    <w:rsid w:val="00AC2D20"/>
    <w:rsid w:val="00AC39A6"/>
    <w:rsid w:val="00AC50A7"/>
    <w:rsid w:val="00AD2502"/>
    <w:rsid w:val="00AD263B"/>
    <w:rsid w:val="00AD3715"/>
    <w:rsid w:val="00AD3DB1"/>
    <w:rsid w:val="00AD6909"/>
    <w:rsid w:val="00AD7A8B"/>
    <w:rsid w:val="00AE0F09"/>
    <w:rsid w:val="00AE3F45"/>
    <w:rsid w:val="00AE429C"/>
    <w:rsid w:val="00AE4B75"/>
    <w:rsid w:val="00AE6C92"/>
    <w:rsid w:val="00AF4525"/>
    <w:rsid w:val="00AF7AF9"/>
    <w:rsid w:val="00B04E77"/>
    <w:rsid w:val="00B063D6"/>
    <w:rsid w:val="00B0658A"/>
    <w:rsid w:val="00B10A3B"/>
    <w:rsid w:val="00B1238D"/>
    <w:rsid w:val="00B12E47"/>
    <w:rsid w:val="00B13105"/>
    <w:rsid w:val="00B17232"/>
    <w:rsid w:val="00B219DB"/>
    <w:rsid w:val="00B2229B"/>
    <w:rsid w:val="00B22E13"/>
    <w:rsid w:val="00B2462C"/>
    <w:rsid w:val="00B25CA4"/>
    <w:rsid w:val="00B25CEE"/>
    <w:rsid w:val="00B267D1"/>
    <w:rsid w:val="00B305B1"/>
    <w:rsid w:val="00B31A4C"/>
    <w:rsid w:val="00B33564"/>
    <w:rsid w:val="00B35A0B"/>
    <w:rsid w:val="00B35B9F"/>
    <w:rsid w:val="00B44168"/>
    <w:rsid w:val="00B463A0"/>
    <w:rsid w:val="00B47810"/>
    <w:rsid w:val="00B522C6"/>
    <w:rsid w:val="00B55527"/>
    <w:rsid w:val="00B556E2"/>
    <w:rsid w:val="00B558A9"/>
    <w:rsid w:val="00B627F3"/>
    <w:rsid w:val="00B6467A"/>
    <w:rsid w:val="00B64842"/>
    <w:rsid w:val="00B67227"/>
    <w:rsid w:val="00B67ADC"/>
    <w:rsid w:val="00B74B3C"/>
    <w:rsid w:val="00B76062"/>
    <w:rsid w:val="00B7776F"/>
    <w:rsid w:val="00B83028"/>
    <w:rsid w:val="00B8448F"/>
    <w:rsid w:val="00B909A3"/>
    <w:rsid w:val="00B92AB5"/>
    <w:rsid w:val="00B95D66"/>
    <w:rsid w:val="00BA1354"/>
    <w:rsid w:val="00BA299B"/>
    <w:rsid w:val="00BA3DF1"/>
    <w:rsid w:val="00BA651B"/>
    <w:rsid w:val="00BB2260"/>
    <w:rsid w:val="00BB3A38"/>
    <w:rsid w:val="00BB4728"/>
    <w:rsid w:val="00BB5369"/>
    <w:rsid w:val="00BC397A"/>
    <w:rsid w:val="00BC4813"/>
    <w:rsid w:val="00BC582A"/>
    <w:rsid w:val="00BD1FDE"/>
    <w:rsid w:val="00BD4EB4"/>
    <w:rsid w:val="00BD6D2B"/>
    <w:rsid w:val="00BD6D3C"/>
    <w:rsid w:val="00BD7896"/>
    <w:rsid w:val="00BE103D"/>
    <w:rsid w:val="00BE12B1"/>
    <w:rsid w:val="00BE3697"/>
    <w:rsid w:val="00BE38EE"/>
    <w:rsid w:val="00BE4D0C"/>
    <w:rsid w:val="00BE51E1"/>
    <w:rsid w:val="00BF5331"/>
    <w:rsid w:val="00BF7A9E"/>
    <w:rsid w:val="00C07393"/>
    <w:rsid w:val="00C10E1B"/>
    <w:rsid w:val="00C128B5"/>
    <w:rsid w:val="00C14590"/>
    <w:rsid w:val="00C15EE1"/>
    <w:rsid w:val="00C2079F"/>
    <w:rsid w:val="00C229E5"/>
    <w:rsid w:val="00C26B71"/>
    <w:rsid w:val="00C31186"/>
    <w:rsid w:val="00C37637"/>
    <w:rsid w:val="00C414BC"/>
    <w:rsid w:val="00C42551"/>
    <w:rsid w:val="00C43B85"/>
    <w:rsid w:val="00C4555C"/>
    <w:rsid w:val="00C45D6B"/>
    <w:rsid w:val="00C465A6"/>
    <w:rsid w:val="00C465EC"/>
    <w:rsid w:val="00C46F0B"/>
    <w:rsid w:val="00C50B34"/>
    <w:rsid w:val="00C54CE1"/>
    <w:rsid w:val="00C5667A"/>
    <w:rsid w:val="00C606FF"/>
    <w:rsid w:val="00C621E3"/>
    <w:rsid w:val="00C623E4"/>
    <w:rsid w:val="00C62B3C"/>
    <w:rsid w:val="00C635A2"/>
    <w:rsid w:val="00C65C42"/>
    <w:rsid w:val="00C660D5"/>
    <w:rsid w:val="00C707A7"/>
    <w:rsid w:val="00C71491"/>
    <w:rsid w:val="00C724E0"/>
    <w:rsid w:val="00C72903"/>
    <w:rsid w:val="00C75D75"/>
    <w:rsid w:val="00C82319"/>
    <w:rsid w:val="00C8413A"/>
    <w:rsid w:val="00C85AFE"/>
    <w:rsid w:val="00C85D8D"/>
    <w:rsid w:val="00C86D24"/>
    <w:rsid w:val="00C87A65"/>
    <w:rsid w:val="00C90016"/>
    <w:rsid w:val="00C91422"/>
    <w:rsid w:val="00C92336"/>
    <w:rsid w:val="00C94F81"/>
    <w:rsid w:val="00C9685F"/>
    <w:rsid w:val="00CA56C1"/>
    <w:rsid w:val="00CB1F0E"/>
    <w:rsid w:val="00CB5A8B"/>
    <w:rsid w:val="00CB708F"/>
    <w:rsid w:val="00CC0754"/>
    <w:rsid w:val="00CC5D12"/>
    <w:rsid w:val="00CC6734"/>
    <w:rsid w:val="00CD0CCD"/>
    <w:rsid w:val="00CD32E4"/>
    <w:rsid w:val="00CD368A"/>
    <w:rsid w:val="00CD4001"/>
    <w:rsid w:val="00CD4119"/>
    <w:rsid w:val="00CD5B6C"/>
    <w:rsid w:val="00CD5E44"/>
    <w:rsid w:val="00CD70CE"/>
    <w:rsid w:val="00CE0913"/>
    <w:rsid w:val="00CE1545"/>
    <w:rsid w:val="00CE165C"/>
    <w:rsid w:val="00CE3699"/>
    <w:rsid w:val="00CE5DD5"/>
    <w:rsid w:val="00CF1E3F"/>
    <w:rsid w:val="00CF203E"/>
    <w:rsid w:val="00CF2C82"/>
    <w:rsid w:val="00CF50F5"/>
    <w:rsid w:val="00CF73CC"/>
    <w:rsid w:val="00D0266B"/>
    <w:rsid w:val="00D034DD"/>
    <w:rsid w:val="00D04D79"/>
    <w:rsid w:val="00D06E56"/>
    <w:rsid w:val="00D106F7"/>
    <w:rsid w:val="00D124A3"/>
    <w:rsid w:val="00D16BB5"/>
    <w:rsid w:val="00D20F0D"/>
    <w:rsid w:val="00D22440"/>
    <w:rsid w:val="00D24766"/>
    <w:rsid w:val="00D24E1C"/>
    <w:rsid w:val="00D25319"/>
    <w:rsid w:val="00D26F8B"/>
    <w:rsid w:val="00D324ED"/>
    <w:rsid w:val="00D34929"/>
    <w:rsid w:val="00D37A39"/>
    <w:rsid w:val="00D40BDE"/>
    <w:rsid w:val="00D40C0D"/>
    <w:rsid w:val="00D40C36"/>
    <w:rsid w:val="00D4428F"/>
    <w:rsid w:val="00D45A16"/>
    <w:rsid w:val="00D468BC"/>
    <w:rsid w:val="00D470D7"/>
    <w:rsid w:val="00D47AE4"/>
    <w:rsid w:val="00D51C1C"/>
    <w:rsid w:val="00D620DD"/>
    <w:rsid w:val="00D64BDF"/>
    <w:rsid w:val="00D665CF"/>
    <w:rsid w:val="00D6693A"/>
    <w:rsid w:val="00D670BE"/>
    <w:rsid w:val="00D70DC3"/>
    <w:rsid w:val="00D75BA4"/>
    <w:rsid w:val="00D7770A"/>
    <w:rsid w:val="00D833B2"/>
    <w:rsid w:val="00D90C10"/>
    <w:rsid w:val="00D923A8"/>
    <w:rsid w:val="00D9288E"/>
    <w:rsid w:val="00D93111"/>
    <w:rsid w:val="00D93BA2"/>
    <w:rsid w:val="00D94C88"/>
    <w:rsid w:val="00D9602E"/>
    <w:rsid w:val="00D97D04"/>
    <w:rsid w:val="00DA16E7"/>
    <w:rsid w:val="00DA52B2"/>
    <w:rsid w:val="00DA559D"/>
    <w:rsid w:val="00DB0EAF"/>
    <w:rsid w:val="00DB1ADD"/>
    <w:rsid w:val="00DB49DC"/>
    <w:rsid w:val="00DB4FC6"/>
    <w:rsid w:val="00DC53F1"/>
    <w:rsid w:val="00DC57CF"/>
    <w:rsid w:val="00DC6880"/>
    <w:rsid w:val="00DD34A3"/>
    <w:rsid w:val="00DE0380"/>
    <w:rsid w:val="00DE3F53"/>
    <w:rsid w:val="00DE46B5"/>
    <w:rsid w:val="00DF291D"/>
    <w:rsid w:val="00DF66E2"/>
    <w:rsid w:val="00E02248"/>
    <w:rsid w:val="00E060E1"/>
    <w:rsid w:val="00E064F4"/>
    <w:rsid w:val="00E1312A"/>
    <w:rsid w:val="00E132F1"/>
    <w:rsid w:val="00E161BA"/>
    <w:rsid w:val="00E169EE"/>
    <w:rsid w:val="00E172C6"/>
    <w:rsid w:val="00E201CE"/>
    <w:rsid w:val="00E211B7"/>
    <w:rsid w:val="00E21D63"/>
    <w:rsid w:val="00E22A9F"/>
    <w:rsid w:val="00E24FB8"/>
    <w:rsid w:val="00E26E1E"/>
    <w:rsid w:val="00E35BA3"/>
    <w:rsid w:val="00E36FBF"/>
    <w:rsid w:val="00E37027"/>
    <w:rsid w:val="00E37E00"/>
    <w:rsid w:val="00E4221B"/>
    <w:rsid w:val="00E461E4"/>
    <w:rsid w:val="00E47058"/>
    <w:rsid w:val="00E51FDA"/>
    <w:rsid w:val="00E536CF"/>
    <w:rsid w:val="00E53708"/>
    <w:rsid w:val="00E539FC"/>
    <w:rsid w:val="00E6155C"/>
    <w:rsid w:val="00E62AEA"/>
    <w:rsid w:val="00E63266"/>
    <w:rsid w:val="00E73A43"/>
    <w:rsid w:val="00E74D5C"/>
    <w:rsid w:val="00E762ED"/>
    <w:rsid w:val="00E815C6"/>
    <w:rsid w:val="00E82D1C"/>
    <w:rsid w:val="00E84F26"/>
    <w:rsid w:val="00E867B6"/>
    <w:rsid w:val="00E8763C"/>
    <w:rsid w:val="00E9041E"/>
    <w:rsid w:val="00E916C3"/>
    <w:rsid w:val="00E93ED9"/>
    <w:rsid w:val="00E960BD"/>
    <w:rsid w:val="00E97253"/>
    <w:rsid w:val="00EA10B3"/>
    <w:rsid w:val="00EA27CB"/>
    <w:rsid w:val="00EA2899"/>
    <w:rsid w:val="00EA5E89"/>
    <w:rsid w:val="00EA66FF"/>
    <w:rsid w:val="00EA7EFF"/>
    <w:rsid w:val="00EB1B8B"/>
    <w:rsid w:val="00EB2004"/>
    <w:rsid w:val="00EB2234"/>
    <w:rsid w:val="00EB61CB"/>
    <w:rsid w:val="00EC0FB4"/>
    <w:rsid w:val="00EC3066"/>
    <w:rsid w:val="00EC465F"/>
    <w:rsid w:val="00EC744A"/>
    <w:rsid w:val="00EC7915"/>
    <w:rsid w:val="00ED0346"/>
    <w:rsid w:val="00ED38DD"/>
    <w:rsid w:val="00ED6CD1"/>
    <w:rsid w:val="00EE04F6"/>
    <w:rsid w:val="00EE186D"/>
    <w:rsid w:val="00EE7D12"/>
    <w:rsid w:val="00EF56B6"/>
    <w:rsid w:val="00EF5B06"/>
    <w:rsid w:val="00EF6105"/>
    <w:rsid w:val="00EF70AA"/>
    <w:rsid w:val="00EF7151"/>
    <w:rsid w:val="00F00393"/>
    <w:rsid w:val="00F02A25"/>
    <w:rsid w:val="00F07D7D"/>
    <w:rsid w:val="00F1278F"/>
    <w:rsid w:val="00F12F3A"/>
    <w:rsid w:val="00F13260"/>
    <w:rsid w:val="00F15156"/>
    <w:rsid w:val="00F17BB9"/>
    <w:rsid w:val="00F20D97"/>
    <w:rsid w:val="00F210D4"/>
    <w:rsid w:val="00F216B6"/>
    <w:rsid w:val="00F227DC"/>
    <w:rsid w:val="00F26C62"/>
    <w:rsid w:val="00F302CD"/>
    <w:rsid w:val="00F344A8"/>
    <w:rsid w:val="00F3639D"/>
    <w:rsid w:val="00F3666E"/>
    <w:rsid w:val="00F36D64"/>
    <w:rsid w:val="00F40164"/>
    <w:rsid w:val="00F41324"/>
    <w:rsid w:val="00F4193D"/>
    <w:rsid w:val="00F51BEF"/>
    <w:rsid w:val="00F52974"/>
    <w:rsid w:val="00F5549F"/>
    <w:rsid w:val="00F55623"/>
    <w:rsid w:val="00F64128"/>
    <w:rsid w:val="00F66742"/>
    <w:rsid w:val="00F71B49"/>
    <w:rsid w:val="00F72F2E"/>
    <w:rsid w:val="00F753D2"/>
    <w:rsid w:val="00F77F3D"/>
    <w:rsid w:val="00F802C4"/>
    <w:rsid w:val="00F808BC"/>
    <w:rsid w:val="00F83239"/>
    <w:rsid w:val="00F83A4D"/>
    <w:rsid w:val="00F84E20"/>
    <w:rsid w:val="00F86D60"/>
    <w:rsid w:val="00F86FDB"/>
    <w:rsid w:val="00F910D8"/>
    <w:rsid w:val="00F94D4D"/>
    <w:rsid w:val="00FA2C11"/>
    <w:rsid w:val="00FA65B0"/>
    <w:rsid w:val="00FA6956"/>
    <w:rsid w:val="00FA6C2C"/>
    <w:rsid w:val="00FA6F01"/>
    <w:rsid w:val="00FB29D1"/>
    <w:rsid w:val="00FB544F"/>
    <w:rsid w:val="00FB6159"/>
    <w:rsid w:val="00FB6477"/>
    <w:rsid w:val="00FC1ABD"/>
    <w:rsid w:val="00FC24E6"/>
    <w:rsid w:val="00FC76EF"/>
    <w:rsid w:val="00FD14B2"/>
    <w:rsid w:val="00FD2C15"/>
    <w:rsid w:val="00FD3E6B"/>
    <w:rsid w:val="00FD588A"/>
    <w:rsid w:val="00FD58A1"/>
    <w:rsid w:val="00FD602E"/>
    <w:rsid w:val="00FE00F0"/>
    <w:rsid w:val="00FE0FC7"/>
    <w:rsid w:val="00FE1B04"/>
    <w:rsid w:val="00FF277B"/>
    <w:rsid w:val="00FF37B6"/>
    <w:rsid w:val="00FF497C"/>
    <w:rsid w:val="00FF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1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2A7B"/>
    <w:rPr>
      <w:rFonts w:cs="Times New Roman"/>
      <w:color w:val="0000FF"/>
      <w:u w:val="single"/>
    </w:rPr>
  </w:style>
  <w:style w:type="paragraph" w:styleId="Header">
    <w:name w:val="header"/>
    <w:basedOn w:val="Normal"/>
    <w:rsid w:val="008834B6"/>
    <w:pPr>
      <w:tabs>
        <w:tab w:val="center" w:pos="4320"/>
        <w:tab w:val="right" w:pos="8640"/>
      </w:tabs>
    </w:pPr>
  </w:style>
  <w:style w:type="paragraph" w:styleId="Footer">
    <w:name w:val="footer"/>
    <w:basedOn w:val="Normal"/>
    <w:rsid w:val="008834B6"/>
    <w:pPr>
      <w:tabs>
        <w:tab w:val="center" w:pos="4320"/>
        <w:tab w:val="right" w:pos="8640"/>
      </w:tabs>
    </w:pPr>
  </w:style>
  <w:style w:type="character" w:styleId="PageNumber">
    <w:name w:val="page number"/>
    <w:basedOn w:val="DefaultParagraphFont"/>
    <w:rsid w:val="008834B6"/>
    <w:rPr>
      <w:rFonts w:cs="Times New Roman"/>
    </w:rPr>
  </w:style>
  <w:style w:type="paragraph" w:customStyle="1" w:styleId="CharChar1Char">
    <w:name w:val="Char Char1 Char"/>
    <w:basedOn w:val="Normal"/>
    <w:rsid w:val="005A575C"/>
    <w:pPr>
      <w:spacing w:after="160" w:line="240" w:lineRule="exact"/>
    </w:pPr>
    <w:rPr>
      <w:rFonts w:ascii="Verdana" w:hAnsi="Verdana"/>
      <w:sz w:val="20"/>
      <w:szCs w:val="20"/>
      <w:lang w:val="en-GB"/>
    </w:rPr>
  </w:style>
  <w:style w:type="paragraph" w:styleId="BalloonText">
    <w:name w:val="Balloon Text"/>
    <w:basedOn w:val="Normal"/>
    <w:link w:val="BalloonTextChar"/>
    <w:semiHidden/>
    <w:rsid w:val="008E2CEC"/>
    <w:rPr>
      <w:rFonts w:ascii="Tahoma" w:hAnsi="Tahoma" w:cs="Tahoma"/>
      <w:sz w:val="16"/>
      <w:szCs w:val="16"/>
    </w:rPr>
  </w:style>
  <w:style w:type="character" w:customStyle="1" w:styleId="BalloonTextChar">
    <w:name w:val="Balloon Text Char"/>
    <w:basedOn w:val="DefaultParagraphFont"/>
    <w:link w:val="BalloonText"/>
    <w:locked/>
    <w:rsid w:val="008E2CEC"/>
    <w:rPr>
      <w:rFonts w:ascii="Tahoma" w:hAnsi="Tahoma" w:cs="Tahoma"/>
      <w:sz w:val="16"/>
      <w:szCs w:val="16"/>
    </w:rPr>
  </w:style>
  <w:style w:type="paragraph" w:styleId="ListParagraph">
    <w:name w:val="List Paragraph"/>
    <w:basedOn w:val="Normal"/>
    <w:qFormat/>
    <w:rsid w:val="00C45D6B"/>
    <w:pPr>
      <w:ind w:left="720"/>
    </w:pPr>
  </w:style>
  <w:style w:type="paragraph" w:customStyle="1" w:styleId="CharChar1Char2">
    <w:name w:val="Char Char1 Char2"/>
    <w:basedOn w:val="Normal"/>
    <w:rsid w:val="009A6A0D"/>
    <w:pPr>
      <w:spacing w:after="160" w:line="240" w:lineRule="exact"/>
    </w:pPr>
    <w:rPr>
      <w:rFonts w:ascii="Verdana" w:hAnsi="Verdana"/>
      <w:sz w:val="20"/>
      <w:szCs w:val="20"/>
      <w:lang w:val="en-GB"/>
    </w:rPr>
  </w:style>
  <w:style w:type="paragraph" w:customStyle="1" w:styleId="CharChar1Char1">
    <w:name w:val="Char Char1 Char1"/>
    <w:basedOn w:val="Normal"/>
    <w:rsid w:val="00430CC6"/>
    <w:pPr>
      <w:spacing w:after="160" w:line="240" w:lineRule="exact"/>
    </w:pPr>
    <w:rPr>
      <w:rFonts w:ascii="Verdana" w:hAnsi="Verdana"/>
      <w:sz w:val="20"/>
      <w:szCs w:val="20"/>
      <w:lang w:val="en-GB"/>
    </w:rPr>
  </w:style>
  <w:style w:type="paragraph" w:customStyle="1" w:styleId="CharChar1Char0">
    <w:name w:val="Char Char1 Char"/>
    <w:basedOn w:val="Normal"/>
    <w:rsid w:val="00BB4728"/>
    <w:pPr>
      <w:spacing w:after="160" w:line="240" w:lineRule="exact"/>
    </w:pPr>
    <w:rPr>
      <w:rFonts w:ascii="Verdana" w:hAnsi="Verdana"/>
      <w:sz w:val="20"/>
      <w:szCs w:val="20"/>
      <w:lang w:val="en-GB"/>
    </w:rPr>
  </w:style>
  <w:style w:type="paragraph" w:customStyle="1" w:styleId="CharChar1Char3">
    <w:name w:val="Char Char1 Char"/>
    <w:basedOn w:val="Normal"/>
    <w:rsid w:val="007539F9"/>
    <w:pPr>
      <w:spacing w:after="160" w:line="240" w:lineRule="exact"/>
    </w:pPr>
    <w:rPr>
      <w:rFonts w:ascii="Verdana" w:hAnsi="Verdana"/>
      <w:sz w:val="20"/>
      <w:szCs w:val="20"/>
      <w:lang w:val="en-GB"/>
    </w:rPr>
  </w:style>
  <w:style w:type="paragraph" w:customStyle="1" w:styleId="CharChar1Char4">
    <w:name w:val="Char Char1 Char"/>
    <w:basedOn w:val="Normal"/>
    <w:rsid w:val="00E24FB8"/>
    <w:pPr>
      <w:spacing w:after="160" w:line="240" w:lineRule="exact"/>
    </w:pPr>
    <w:rPr>
      <w:rFonts w:ascii="Verdana" w:hAnsi="Verdana"/>
      <w:sz w:val="20"/>
      <w:szCs w:val="20"/>
      <w:lang w:val="en-GB"/>
    </w:rPr>
  </w:style>
  <w:style w:type="paragraph" w:customStyle="1" w:styleId="CharChar1Char5">
    <w:name w:val="Char Char1 Char"/>
    <w:basedOn w:val="Normal"/>
    <w:rsid w:val="0059345B"/>
    <w:pPr>
      <w:spacing w:after="160" w:line="240" w:lineRule="exact"/>
    </w:pPr>
    <w:rPr>
      <w:rFonts w:ascii="Verdana"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1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2A7B"/>
    <w:rPr>
      <w:rFonts w:cs="Times New Roman"/>
      <w:color w:val="0000FF"/>
      <w:u w:val="single"/>
    </w:rPr>
  </w:style>
  <w:style w:type="paragraph" w:styleId="Header">
    <w:name w:val="header"/>
    <w:basedOn w:val="Normal"/>
    <w:rsid w:val="008834B6"/>
    <w:pPr>
      <w:tabs>
        <w:tab w:val="center" w:pos="4320"/>
        <w:tab w:val="right" w:pos="8640"/>
      </w:tabs>
    </w:pPr>
  </w:style>
  <w:style w:type="paragraph" w:styleId="Footer">
    <w:name w:val="footer"/>
    <w:basedOn w:val="Normal"/>
    <w:rsid w:val="008834B6"/>
    <w:pPr>
      <w:tabs>
        <w:tab w:val="center" w:pos="4320"/>
        <w:tab w:val="right" w:pos="8640"/>
      </w:tabs>
    </w:pPr>
  </w:style>
  <w:style w:type="character" w:styleId="PageNumber">
    <w:name w:val="page number"/>
    <w:basedOn w:val="DefaultParagraphFont"/>
    <w:rsid w:val="008834B6"/>
    <w:rPr>
      <w:rFonts w:cs="Times New Roman"/>
    </w:rPr>
  </w:style>
  <w:style w:type="paragraph" w:customStyle="1" w:styleId="CharChar1Char">
    <w:name w:val="Char Char1 Char"/>
    <w:basedOn w:val="Normal"/>
    <w:rsid w:val="005A575C"/>
    <w:pPr>
      <w:spacing w:after="160" w:line="240" w:lineRule="exact"/>
    </w:pPr>
    <w:rPr>
      <w:rFonts w:ascii="Verdana" w:hAnsi="Verdana"/>
      <w:sz w:val="20"/>
      <w:szCs w:val="20"/>
      <w:lang w:val="en-GB"/>
    </w:rPr>
  </w:style>
  <w:style w:type="paragraph" w:styleId="BalloonText">
    <w:name w:val="Balloon Text"/>
    <w:basedOn w:val="Normal"/>
    <w:link w:val="BalloonTextChar"/>
    <w:semiHidden/>
    <w:rsid w:val="008E2CEC"/>
    <w:rPr>
      <w:rFonts w:ascii="Tahoma" w:hAnsi="Tahoma" w:cs="Tahoma"/>
      <w:sz w:val="16"/>
      <w:szCs w:val="16"/>
    </w:rPr>
  </w:style>
  <w:style w:type="character" w:customStyle="1" w:styleId="BalloonTextChar">
    <w:name w:val="Balloon Text Char"/>
    <w:basedOn w:val="DefaultParagraphFont"/>
    <w:link w:val="BalloonText"/>
    <w:locked/>
    <w:rsid w:val="008E2CEC"/>
    <w:rPr>
      <w:rFonts w:ascii="Tahoma" w:hAnsi="Tahoma" w:cs="Tahoma"/>
      <w:sz w:val="16"/>
      <w:szCs w:val="16"/>
    </w:rPr>
  </w:style>
  <w:style w:type="paragraph" w:styleId="ListParagraph">
    <w:name w:val="List Paragraph"/>
    <w:basedOn w:val="Normal"/>
    <w:qFormat/>
    <w:rsid w:val="00C45D6B"/>
    <w:pPr>
      <w:ind w:left="720"/>
    </w:pPr>
  </w:style>
  <w:style w:type="paragraph" w:customStyle="1" w:styleId="CharChar1Char2">
    <w:name w:val="Char Char1 Char2"/>
    <w:basedOn w:val="Normal"/>
    <w:rsid w:val="009A6A0D"/>
    <w:pPr>
      <w:spacing w:after="160" w:line="240" w:lineRule="exact"/>
    </w:pPr>
    <w:rPr>
      <w:rFonts w:ascii="Verdana" w:hAnsi="Verdana"/>
      <w:sz w:val="20"/>
      <w:szCs w:val="20"/>
      <w:lang w:val="en-GB"/>
    </w:rPr>
  </w:style>
  <w:style w:type="paragraph" w:customStyle="1" w:styleId="CharChar1Char1">
    <w:name w:val="Char Char1 Char1"/>
    <w:basedOn w:val="Normal"/>
    <w:rsid w:val="00430CC6"/>
    <w:pPr>
      <w:spacing w:after="160" w:line="240" w:lineRule="exact"/>
    </w:pPr>
    <w:rPr>
      <w:rFonts w:ascii="Verdana" w:hAnsi="Verdana"/>
      <w:sz w:val="20"/>
      <w:szCs w:val="20"/>
      <w:lang w:val="en-GB"/>
    </w:rPr>
  </w:style>
  <w:style w:type="paragraph" w:customStyle="1" w:styleId="CharChar1Char0">
    <w:name w:val="Char Char1 Char"/>
    <w:basedOn w:val="Normal"/>
    <w:rsid w:val="00BB4728"/>
    <w:pPr>
      <w:spacing w:after="160" w:line="240" w:lineRule="exact"/>
    </w:pPr>
    <w:rPr>
      <w:rFonts w:ascii="Verdana" w:hAnsi="Verdana"/>
      <w:sz w:val="20"/>
      <w:szCs w:val="20"/>
      <w:lang w:val="en-GB"/>
    </w:rPr>
  </w:style>
  <w:style w:type="paragraph" w:customStyle="1" w:styleId="CharChar1Char3">
    <w:name w:val="Char Char1 Char"/>
    <w:basedOn w:val="Normal"/>
    <w:rsid w:val="007539F9"/>
    <w:pPr>
      <w:spacing w:after="160" w:line="240" w:lineRule="exact"/>
    </w:pPr>
    <w:rPr>
      <w:rFonts w:ascii="Verdana" w:hAnsi="Verdana"/>
      <w:sz w:val="20"/>
      <w:szCs w:val="20"/>
      <w:lang w:val="en-GB"/>
    </w:rPr>
  </w:style>
  <w:style w:type="paragraph" w:customStyle="1" w:styleId="CharChar1Char4">
    <w:name w:val="Char Char1 Char"/>
    <w:basedOn w:val="Normal"/>
    <w:rsid w:val="00E24FB8"/>
    <w:pPr>
      <w:spacing w:after="160" w:line="240" w:lineRule="exact"/>
    </w:pPr>
    <w:rPr>
      <w:rFonts w:ascii="Verdana" w:hAnsi="Verdana"/>
      <w:sz w:val="20"/>
      <w:szCs w:val="20"/>
      <w:lang w:val="en-GB"/>
    </w:rPr>
  </w:style>
  <w:style w:type="paragraph" w:customStyle="1" w:styleId="CharChar1Char5">
    <w:name w:val="Char Char1 Char"/>
    <w:basedOn w:val="Normal"/>
    <w:rsid w:val="0059345B"/>
    <w:pPr>
      <w:spacing w:after="160" w:line="240" w:lineRule="exact"/>
    </w:pPr>
    <w:rPr>
      <w:rFonts w:ascii="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ECFE-8C03-42E1-9E67-ED560B83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TỔNG CÔNG TY CP PETROSETCO</vt:lpstr>
    </vt:vector>
  </TitlesOfParts>
  <Company>Petrosetco</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CP PETROSETCO</dc:title>
  <dc:creator>Nguyen Thuy Hong Thao</dc:creator>
  <cp:lastModifiedBy>Admin</cp:lastModifiedBy>
  <cp:revision>27</cp:revision>
  <cp:lastPrinted>2020-06-09T07:23:00Z</cp:lastPrinted>
  <dcterms:created xsi:type="dcterms:W3CDTF">2020-06-04T08:24:00Z</dcterms:created>
  <dcterms:modified xsi:type="dcterms:W3CDTF">2020-06-10T03:41:00Z</dcterms:modified>
</cp:coreProperties>
</file>